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styles.xml" ContentType="application/vnd.openxmlformats-officedocument.wordprocessingml.styles+xml"/>
  <Override PartName="/word/_rels/document.xml.rels" ContentType="application/vnd.openxmlformats-package.relationships+xml"/>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10.png" ContentType="image/png"/>
  <Override PartName="/word/media/image7.png" ContentType="image/png"/>
  <Override PartName="/word/media/image11.png" ContentType="image/png"/>
  <Override PartName="/word/media/image8.png" ContentType="image/png"/>
  <Override PartName="/word/media/image12.png" ContentType="image/png"/>
  <Override PartName="/word/media/image9.png" ContentType="image/png"/>
  <Override PartName="/word/media/image13.png" ContentType="image/png"/>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Title"/>
        <w:keepNext w:val="true"/>
        <w:keepLines/>
        <w:spacing w:before="480" w:after="240"/>
        <w:jc w:val="left"/>
        <w:rPr/>
      </w:pPr>
      <w:r>
        <w:rPr/>
        <w:t>[Working title]: Foliar fungal symbionts in sympatric yellow monkeyflowers along elevation gradients in the Sierra Nevada</w:t>
      </w:r>
    </w:p>
    <w:p>
      <w:pPr>
        <w:pStyle w:val="Author"/>
        <w:rPr/>
      </w:pPr>
      <w:r>
        <w:rPr/>
        <w:t>Bolívar Aponte Rolón</w:t>
      </w:r>
      <w:r>
        <w:rPr>
          <w:vertAlign w:val="superscript"/>
        </w:rPr>
        <w:t>1,✉</w:t>
      </w:r>
      <w:r>
        <w:rPr/>
        <w:t>, Kathleen G. Ferris</w:t>
      </w:r>
      <w:r>
        <w:rPr>
          <w:vertAlign w:val="superscript"/>
        </w:rPr>
        <w:t>2</w:t>
      </w:r>
      <w:r>
        <w:rPr/>
        <w:t>, and Sunshine A. Van Bael</w:t>
      </w:r>
      <w:r>
        <w:rPr>
          <w:vertAlign w:val="superscript"/>
        </w:rPr>
        <w:t>2</w:t>
      </w:r>
    </w:p>
    <w:p>
      <w:pPr>
        <w:pStyle w:val="Date"/>
        <w:rPr/>
      </w:pPr>
      <w:r>
        <w:rPr/>
        <w:t>March 21, 2024</w:t>
      </w:r>
    </w:p>
    <w:p>
      <w:pPr>
        <w:pStyle w:val="FirstParagraph"/>
        <w:rPr/>
      </w:pPr>
      <w:r>
        <w:rPr>
          <w:vertAlign w:val="superscript"/>
        </w:rPr>
        <w:t>1</w:t>
      </w:r>
      <w:r>
        <w:rPr/>
        <w:t xml:space="preserve"> Tulane University</w:t>
        <w:br/>
      </w:r>
      <w:r>
        <w:rPr>
          <w:vertAlign w:val="superscript"/>
        </w:rPr>
        <w:t>2</w:t>
      </w:r>
      <w:r>
        <w:rPr/>
        <w:t xml:space="preserve"> Department of Ecology and Evolutionary Biology, Tulane University, 6823 St. Charles Avenue, New Orleans, LA 70118</w:t>
      </w:r>
    </w:p>
    <w:p>
      <w:pPr>
        <w:pStyle w:val="BodyText"/>
        <w:rPr/>
      </w:pPr>
      <w:r>
        <w:rPr>
          <w:vertAlign w:val="superscript"/>
        </w:rPr>
        <w:t>✉</w:t>
      </w:r>
      <w:r>
        <w:rPr/>
        <w:t xml:space="preserve"> </w:t>
      </w:r>
      <w:r>
        <w:rPr/>
        <w:t xml:space="preserve">Correspondence: </w:t>
      </w:r>
      <w:hyperlink r:id="rId2">
        <w:r>
          <w:rPr>
            <w:rStyle w:val="Hyperlink"/>
          </w:rPr>
          <w:t>Bolívar Aponte Rolón &lt;baponterolon@tulane.edu&gt;</w:t>
        </w:r>
      </w:hyperlink>
    </w:p>
    <w:p>
      <w:pPr>
        <w:pStyle w:val="Heading2"/>
        <w:rPr/>
      </w:pPr>
      <w:bookmarkStart w:id="0" w:name="keywords"/>
      <w:r>
        <w:rPr/>
        <w:t>0.1 Keywords</w:t>
      </w:r>
      <w:bookmarkEnd w:id="0"/>
    </w:p>
    <w:p>
      <w:pPr>
        <w:pStyle w:val="Heading1"/>
        <w:rPr/>
      </w:pPr>
      <w:bookmarkStart w:id="1" w:name="abstract"/>
      <w:r>
        <w:rPr/>
        <w:t>1. Abstract</w:t>
      </w:r>
    </w:p>
    <w:p>
      <w:pPr>
        <w:pStyle w:val="FirstParagraph"/>
        <w:rPr/>
      </w:pPr>
      <w:r>
        <w:rPr/>
        <w:t xml:space="preserve">The </w:t>
      </w:r>
      <w:r>
        <w:rPr>
          <w:i/>
          <w:iCs/>
        </w:rPr>
        <w:t>Mimulus</w:t>
      </w:r>
      <w:r>
        <w:rPr/>
        <w:t xml:space="preserve"> genus, commonly known as monkeyflowers, is a diverse group of flowering plants found in North and South America. These plants have been the subject of extensive research, providing insight into the underlying phenotypic and genetic adaptation that characterize their unique ecological and evolutionary features. The array of leaf functional trait variation between monkeyflowers species contribute key advantages for adapting to harsh environments. Potential microbial symbionts contributing to their ecological and evolutionary success has been overlooked. Foliar endophytic fungi (FEF), symbiotic fungi living inside leaf tissue, have been shown to alter their hosts response to environmental stress. We explored the how FEF abundance, richness, and community composition in three sympatric monkeyflowers responded to changes in leaf functional traits across an elevation and geographical gradient in the Sierra Nevada, CA, USA. Specifically we asked: Q1) Are FEF community patterns correlated with leaf functional traits and/or elevation gradient? Q2) How does FEF community composition differs in response to geographic distance at the genus and host species level? Q3) Are there differences in leaf functional traits and FEF communities </w:t>
      </w:r>
      <w:r>
        <w:rPr>
          <w:i/>
          <w:iCs/>
        </w:rPr>
        <w:t>among</w:t>
      </w:r>
      <w:r>
        <w:rPr/>
        <w:t xml:space="preserve"> sympatric </w:t>
      </w:r>
      <w:r>
        <w:rPr>
          <w:i/>
          <w:iCs/>
        </w:rPr>
        <w:t>Mimulus</w:t>
      </w:r>
      <w:r>
        <w:rPr/>
        <w:t xml:space="preserve"> spp. populations? Q4) Do leaf functional traits and FEF communities differ </w:t>
      </w:r>
      <w:r>
        <w:rPr>
          <w:i/>
          <w:iCs/>
        </w:rPr>
        <w:t>between</w:t>
      </w:r>
      <w:r>
        <w:rPr/>
        <w:t xml:space="preserve"> species along an elevational gradient? We collected individuals from natural populations across the Sierra Nevada, measured leaf mass per area, thickness, toughness, lobeness, and athocyanin content. Through the use of linear models and distance-based Redundancy Analysis (dbRDA) we found a significant correlation of FEF communities with leaf lobeness, host species, and elevation, emphasizing the environmental determinants of fungal community composition. Furthermore, the significant correlation between FEF community dissimilarity and geographical distance provide insight into the spatial dynamics of fungal endophyte distribution associated with different host species. We detected the prevalence of </w:t>
      </w:r>
      <w:r>
        <w:rPr>
          <w:i/>
          <w:iCs/>
        </w:rPr>
        <w:t>Vishniacozyma victoriae</w:t>
      </w:r>
      <w:r>
        <w:rPr/>
        <w:t xml:space="preserve">, </w:t>
      </w:r>
      <w:r>
        <w:rPr>
          <w:i/>
          <w:iCs/>
        </w:rPr>
        <w:t>Cladosporium herbanum</w:t>
      </w:r>
      <w:r>
        <w:rPr/>
        <w:t xml:space="preserve">, and </w:t>
      </w:r>
      <w:r>
        <w:rPr>
          <w:i/>
          <w:iCs/>
        </w:rPr>
        <w:t>Cladosporium</w:t>
      </w:r>
      <w:r>
        <w:rPr/>
        <w:t xml:space="preserve"> spp. across all sites and host species, underscoring the stability of certain fungal groups within these environments. The presence of </w:t>
      </w:r>
      <w:r>
        <w:rPr>
          <w:i/>
          <w:iCs/>
        </w:rPr>
        <w:t>V. victoriae</w:t>
      </w:r>
      <w:r>
        <w:rPr/>
        <w:t xml:space="preserve"> might be indicative of its potential role in the local adaptation of </w:t>
      </w:r>
      <w:r>
        <w:rPr>
          <w:i/>
          <w:iCs/>
        </w:rPr>
        <w:t>Mimulus</w:t>
      </w:r>
      <w:r>
        <w:rPr/>
        <w:t xml:space="preserve"> to cold and high elevation environments. Our findings offer valuable insights into the intricate interactions between fungal endophyte communities, plant traits, and elevation, with implications for ecological and evolutionary studies in the </w:t>
      </w:r>
      <w:r>
        <w:rPr>
          <w:i/>
          <w:iCs/>
        </w:rPr>
        <w:t>Mimulus guttarus</w:t>
      </w:r>
      <w:r>
        <w:rPr/>
        <w:t xml:space="preserve"> species complex.</w:t>
      </w:r>
    </w:p>
    <w:p>
      <w:pPr>
        <w:pStyle w:val="BodyText"/>
        <w:rPr/>
      </w:pPr>
      <w:r>
        <w:rPr/>
        <w:t>In this study, we have delved into the intricate relationship between leaf functional traits, fungal endophyte communities, and elevation. Our research has shed light on the correlations between elevation and leaf traits, such as leaf toughness, thickness, and specific leaf area. These findings underscore the significant impact of environmental factors on plant physiology. Moreover, our investigation into fungal endophyte diversity has revealed a clear association between elevation and alpha diversity measures. The decrease in diversity with increasing elevation suggests the influence of elevation on fungal endophyte communities associated with these plant species. The presence of core taxa members across all sites and host species underscores the stability of certain fungal groups within these environments.</w:t>
      </w:r>
    </w:p>
    <w:p>
      <w:pPr>
        <w:pStyle w:val="BodyText"/>
        <w:rPr/>
      </w:pPr>
      <w:r>
        <w:rPr/>
        <w:t>The distance-based Redundancy Analysis (dbRDA) has demonstrated the influence of leaf lobation, host species, and elevation on fungal endophyte communities, emphasizing the environmental determinants of fungal community composition. Furthermore, the significant correlation between FEF community dissimilarity and geographical distance provides insights into the spatial dynamics of fungal endophyte distribution associated with different host species.</w:t>
      </w:r>
    </w:p>
    <w:p>
      <w:pPr>
        <w:pStyle w:val="BodyText"/>
        <w:rPr/>
      </w:pPr>
      <w:bookmarkStart w:id="2" w:name="abstract"/>
      <w:r>
        <w:rPr/>
        <w:t>Overall, our findings offer valuable insights into the intricate interactions between plant traits, fungal endophyte communities, and environmental factors, with implications for ecological and evolutionary studies in alpine ecosystems.</w:t>
      </w:r>
      <w:bookmarkEnd w:id="2"/>
    </w:p>
    <w:p>
      <w:pPr>
        <w:pStyle w:val="Heading1"/>
        <w:rPr/>
      </w:pPr>
      <w:bookmarkStart w:id="3" w:name="introduction"/>
      <w:r>
        <w:rPr/>
        <w:t>2. Introduction</w:t>
      </w:r>
    </w:p>
    <w:p>
      <w:pPr>
        <w:pStyle w:val="FirstParagraph"/>
        <w:rPr/>
      </w:pPr>
      <w:r>
        <w:rPr/>
        <w:t xml:space="preserve">Phenotypic plasticity and genetic adaptation are key drivers of evolution, and both processes may aid in plant adaptation to a warming climate (Jump &amp; Peñuelas, 2005). Plant’s colonization of land across multiples climates has been aided by their parallel evolution with fungi and bacteria; however, little is known about how plant microbiomes influence or are influenced by local adaptation or phenotypic plasticity of plants. Lack of knowledge about this is a problem because ecology aims to predict how plant distribution may change as the climate becomes further altered. Previous studies have suggested that foliar endophytic fungi (FEF) can alter plant traits under stressful conditions such as drought (Song et al., 2016). FEF live in plant leaves and they may contribute to local adaptation and/or phenotypic plasticity. Host genetics may shape the foliar microbiomes of plants. For example, a study on the classical plant model, </w:t>
      </w:r>
      <w:r>
        <w:rPr>
          <w:i/>
          <w:iCs/>
        </w:rPr>
        <w:t>Arabidopsis thaliana</w:t>
      </w:r>
      <w:r>
        <w:rPr/>
        <w:t xml:space="preserve">, revealed that bacterial and fungal communities in leaves are shaped by host genotype, at least for the most common OTUs (Horton et al., 2014). Another ideal model system to explore the interactions between leaf traits and FEF are the yellow monkeyflowers in the </w:t>
      </w:r>
      <w:r>
        <w:rPr>
          <w:i/>
          <w:iCs/>
        </w:rPr>
        <w:t>Mimulus guttatus</w:t>
      </w:r>
      <w:r>
        <w:rPr/>
        <w:t xml:space="preserve"> species complex. Over the last 2 decades, the </w:t>
      </w:r>
      <w:r>
        <w:rPr>
          <w:i/>
          <w:iCs/>
        </w:rPr>
        <w:t>M. guttatus</w:t>
      </w:r>
      <w:r>
        <w:rPr/>
        <w:t xml:space="preserve"> species complex has become a model system for answering questions about local adaptation and phenotypic plasticity (Wu et al., 2008; Yuan, 2019). Experimental manipulation is relatively easy due to its small genome (about 430 Mb), short generation time, high fecundity, self-compatibility, and ease of greenhouse propagation (Society, 2019; Wu et al., 2008) Currently, studies of the </w:t>
      </w:r>
      <w:r>
        <w:rPr>
          <w:i/>
          <w:iCs/>
        </w:rPr>
        <w:t>M. guttatus</w:t>
      </w:r>
      <w:r>
        <w:rPr/>
        <w:t xml:space="preserve"> species complex focus on the genetic and environmental factors driving local adaptation and phenotypic plasticity. The evolution of leaf shape for 3 edaphic species in the </w:t>
      </w:r>
      <w:r>
        <w:rPr>
          <w:i/>
          <w:iCs/>
        </w:rPr>
        <w:t>M. guttatus</w:t>
      </w:r>
      <w:r>
        <w:rPr/>
        <w:t xml:space="preserve"> complex is controlled by overlapping genetic regions (Ferris et al., 2015). Ferris et al., (2015) points to multiple events of leaf shape evolution in the </w:t>
      </w:r>
      <w:r>
        <w:rPr>
          <w:i/>
          <w:iCs/>
        </w:rPr>
        <w:t>M. guttatus</w:t>
      </w:r>
      <w:r>
        <w:rPr/>
        <w:t xml:space="preserve"> species complex and their associated habitats. Recent work has narrowed the genetic architecture at play in incomplete reproductively isolated sympatric populations of </w:t>
      </w:r>
      <w:r>
        <w:rPr>
          <w:i/>
          <w:iCs/>
        </w:rPr>
        <w:t>Mimulus laciniatus</w:t>
      </w:r>
      <w:r>
        <w:rPr/>
        <w:t xml:space="preserve"> and </w:t>
      </w:r>
      <w:r>
        <w:rPr>
          <w:i/>
          <w:iCs/>
        </w:rPr>
        <w:t>Mimulus guttatus</w:t>
      </w:r>
      <w:r>
        <w:rPr/>
        <w:t xml:space="preserve">, shedding light on the location of quantitative trait loci (QTL) for the first flower node, flowering time, corolla width, corolla length, and leaf shape and suggesting that large-effect loci underlie these traits (Ferris et al., 2017). There is scarce research that focuses on the symbionts of </w:t>
      </w:r>
      <w:r>
        <w:rPr>
          <w:i/>
          <w:iCs/>
        </w:rPr>
        <w:t>Mimulus</w:t>
      </w:r>
      <w:r>
        <w:rPr/>
        <w:t xml:space="preserve"> spp. Beslile et al. (2012) reported on the distribution of diverse fungal communities in the flower nectar of </w:t>
      </w:r>
      <w:r>
        <w:rPr>
          <w:i/>
          <w:iCs/>
        </w:rPr>
        <w:t>Mimulus aurantiacus</w:t>
      </w:r>
      <w:r>
        <w:rPr/>
        <w:t xml:space="preserve">. The authors considered flowers as islands in a metapopulation system and found that the frequency of micro fungi (i.e., yeasts) was significantly correlated to the location of the plant and marginally correlated with the density of the flowers in the plant (Beslile et al., 2012). To our knowledge, no previous studies have considered symbionts in leaf tissue of </w:t>
      </w:r>
      <w:r>
        <w:rPr>
          <w:i/>
          <w:iCs/>
        </w:rPr>
        <w:t>Mimulus</w:t>
      </w:r>
      <w:r>
        <w:rPr/>
        <w:t xml:space="preserve"> spp. and how leaf functional traits influence symbiont community composition. Given the potential benefits FEF can provide their hosts under stressful conditions (CITE) and the wide range of habitats the </w:t>
      </w:r>
      <w:r>
        <w:rPr>
          <w:i/>
          <w:iCs/>
        </w:rPr>
        <w:t>M. guttatus</w:t>
      </w:r>
      <w:r>
        <w:rPr/>
        <w:t xml:space="preserve"> species complex occupies, it is important to understand the role of FEF communities play in </w:t>
      </w:r>
      <w:r>
        <w:rPr>
          <w:i/>
          <w:iCs/>
        </w:rPr>
        <w:t>Mimulus</w:t>
      </w:r>
      <w:r>
        <w:rPr/>
        <w:t xml:space="preserve"> spp. The aim of this study was to explore some baseline questions about the FEF communities in sympatric populations of </w:t>
      </w:r>
      <w:r>
        <w:rPr>
          <w:i/>
          <w:iCs/>
        </w:rPr>
        <w:t>Mimulus</w:t>
      </w:r>
      <w:r>
        <w:rPr/>
        <w:t xml:space="preserve"> spp.along an elevation gradient. We formulated the following questions: Q1) Are FEF community patterns correlated with leaf functional traits and/or elevation gradient? Q2) How does FEF community composition differs in response to geographic distance at the genus and host species level? Q3) Are there differences in leaf functional traits and FEF communities </w:t>
      </w:r>
      <w:r>
        <w:rPr>
          <w:i/>
          <w:iCs/>
        </w:rPr>
        <w:t>among</w:t>
      </w:r>
      <w:r>
        <w:rPr/>
        <w:t xml:space="preserve"> sympatric </w:t>
      </w:r>
      <w:r>
        <w:rPr>
          <w:i/>
          <w:iCs/>
        </w:rPr>
        <w:t>Mimulus</w:t>
      </w:r>
      <w:r>
        <w:rPr/>
        <w:t xml:space="preserve"> spp. populations? Q4) Do leaf functional traits and FEF communities differ </w:t>
      </w:r>
      <w:r>
        <w:rPr>
          <w:i/>
          <w:iCs/>
        </w:rPr>
        <w:t>between</w:t>
      </w:r>
      <w:r>
        <w:rPr/>
        <w:t xml:space="preserve"> species along an elevational gradient? We expected the abundance, diversity, richness, and community composition of FEF would be more similar among the same sites (alpha diversity) than between sites (beta diversity) regardless of host species.</w:t>
      </w:r>
    </w:p>
    <w:p>
      <w:pPr>
        <w:pStyle w:val="BodyText"/>
        <w:rPr/>
      </w:pPr>
      <w:bookmarkStart w:id="4" w:name="introduction"/>
      <w:r>
        <w:rPr/>
        <w:t>TALK ABOUT THE EXPANDED PHENOTYPE</w:t>
      </w:r>
      <w:bookmarkEnd w:id="4"/>
    </w:p>
    <w:p>
      <w:pPr>
        <w:pStyle w:val="Heading1"/>
        <w:rPr/>
      </w:pPr>
      <w:bookmarkStart w:id="5" w:name="materials-and-methods"/>
      <w:r>
        <w:rPr/>
        <w:t>3. Materials and Methods</w:t>
      </w:r>
    </w:p>
    <w:p>
      <w:pPr>
        <w:pStyle w:val="Heading2"/>
        <w:rPr/>
      </w:pPr>
      <w:bookmarkStart w:id="6" w:name="sample-collection"/>
      <w:r>
        <w:rPr/>
        <w:t>3.1 Sample Collection</w:t>
      </w:r>
    </w:p>
    <w:p>
      <w:pPr>
        <w:pStyle w:val="FirstParagraph"/>
        <w:rPr/>
      </w:pPr>
      <w:r>
        <w:rPr/>
        <w:t xml:space="preserve">We collected plant specimens during April-July 2021 and 2022 from populations of </w:t>
      </w:r>
      <w:r>
        <w:rPr>
          <w:i/>
          <w:iCs/>
        </w:rPr>
        <w:t>M. guttatus</w:t>
      </w:r>
      <w:r>
        <w:rPr/>
        <w:t xml:space="preserve">, </w:t>
      </w:r>
      <w:r>
        <w:rPr>
          <w:i/>
          <w:iCs/>
        </w:rPr>
        <w:t>M. laciniatus</w:t>
      </w:r>
      <w:r>
        <w:rPr/>
        <w:t xml:space="preserve">, and </w:t>
      </w:r>
      <w:r>
        <w:rPr>
          <w:i/>
          <w:iCs/>
        </w:rPr>
        <w:t>M. nasutus</w:t>
      </w:r>
      <w:r>
        <w:rPr/>
        <w:t xml:space="preserve"> (syn. </w:t>
      </w:r>
      <w:r>
        <w:rPr>
          <w:i/>
          <w:iCs/>
        </w:rPr>
        <w:t>Erythranthe guttata</w:t>
      </w:r>
      <w:r>
        <w:rPr/>
        <w:t xml:space="preserve">, </w:t>
      </w:r>
      <w:r>
        <w:rPr>
          <w:i/>
          <w:iCs/>
        </w:rPr>
        <w:t>Erythranthe laciniata</w:t>
      </w:r>
      <w:r>
        <w:rPr/>
        <w:t xml:space="preserve">, and </w:t>
      </w:r>
      <w:r>
        <w:rPr>
          <w:i/>
          <w:iCs/>
        </w:rPr>
        <w:t>Erythranthe nasuta</w:t>
      </w:r>
      <w:r>
        <w:rPr/>
        <w:t>) across Stanislaus National Forest (SNF), Sierra National Forest (SINF) and Yosemite National Park (YNP), CA, USA.  We haphazardly selected sites close to the main roads based on the presence of a viable population with at least ~ 50 individuals per species. Samples collected from YNP were collected from non-wilderness areas on the side of the road. We determined population viability ensuring that they had individuals flowering or close to flowering stage. We collected between 5 - 20 individuals per species from a total of 25 sites (Table 1). We selected individuals that possessed healthy looking leaves and no visible signs of pathogen damage or senescence. At sites where two species were present, we collected individuals that were at least ~ 25 meters apart. We collected sample specimens by carefully uprooting the plant and placing into individual plastic bags (e.g., Ziploc®) and preserving in an ice chest until return to the field laboratory at the UC Merced Yosemite Field Station, YNP, CA, USA. Plant specimens were processed within 8 hrs of collection.</w:t>
      </w:r>
      <w:bookmarkEnd w:id="6"/>
    </w:p>
    <w:p>
      <w:pPr>
        <w:pStyle w:val="Heading2"/>
        <w:rPr/>
      </w:pPr>
      <w:bookmarkStart w:id="7" w:name="leaf-traits-measurement"/>
      <w:r>
        <w:rPr/>
        <w:t>3.2 Leaf traits measurement</w:t>
      </w:r>
    </w:p>
    <w:p>
      <w:pPr>
        <w:pStyle w:val="FirstParagraph"/>
        <w:rPr/>
      </w:pPr>
      <w:bookmarkStart w:id="8" w:name="leaf-traits-measurement"/>
      <w:r>
        <w:rPr/>
        <w:t>From each plant, we measured leaf traits: leaf thickness (LT), leaf punch strength (LPS), leaf mass per area (LMA), anthocyanin content index (ACI) which are known to be associated with FEF communities (Tellez et al., 2022) as well as leaf lobe index (LBI) (Ferris et al., 2015). We cleaned plants with tap water to remove all soil and debris remnants from the leaves and roots. We removed all healthy leaves (~ 5 - 10) from the stems and took three measurements per trait from three haphazardly selected leaves from individual plants, with the exception of LBI, only one leaf per plant. We used a transparency film to hold the leaf in place and flatten, after which we took a digital photograph for further analysis. To calculate the LBI, we followed (2015). Briefly, leaf lobing is calculated as the convex hull area minus the true leaf area divided by convex hull area of a digital photograph of a leaf in ImageJ [v1.52r; Schneider et al. (2012)]. We measured ACI content with ACM-200plus (Opti-Sciences Inc. Hudson, New Hampshire, U.S.A.) on haphazardly selected locations of the leaf surface (working from the petiole out to the leaf tip) (Tellez et al., 2022). The ACM-200 calculates an ACI value from the ratio of % transmittance at 931 nm/% transmittance at 525 nm (Inc., n.d.), effectively accounting for leaf thickness. We measured LT (μm) with a Mitutoyo 7327 Micrometer Gauge (Mitutoyo, Takatsu-ku, Kawasaki, Japan) on haphazardly selected locations of the leaf lamina, taking care to avoid major and secondary veins. We used an Imada DST-11a digital force gauge (Imada Inc., Northbrook, IL, United States) to measure LPS, a measure of leaf toughness, on the lamina of each leaf selected, avoiding minor leaf veins when possible (Tellez et al., 2022). It functions by conducting punch-and-die tests with a sharp-edged cylindrical steel punch (2.0 mm diameter) and a steel die with a sharp-edged aperture of small clearance (0.05 mm). Once LPS was measured, we used a 4 mm diameter punch hole to puncture disks for LMA measurements. We collected one disk per leaf (see Supplementary material for details). The disk punches dried were shipped to Tulane University, New Orleans, LA, USA to dry at 60 ℃ for 48-72 hours before being weighed.</w:t>
      </w:r>
      <w:bookmarkEnd w:id="8"/>
    </w:p>
    <w:p>
      <w:pPr>
        <w:pStyle w:val="Heading2"/>
        <w:rPr/>
      </w:pPr>
      <w:bookmarkStart w:id="9" w:name="molecular-work"/>
      <w:r>
        <w:rPr/>
        <w:t>3.3 Molecular Work</w:t>
      </w:r>
    </w:p>
    <w:p>
      <w:pPr>
        <w:pStyle w:val="Heading3"/>
        <w:rPr/>
      </w:pPr>
      <w:bookmarkStart w:id="10" w:name="tissue-preservation"/>
      <w:r>
        <w:rPr/>
        <w:t>3.3.1 Tissue preservation</w:t>
      </w:r>
    </w:p>
    <w:p>
      <w:pPr>
        <w:pStyle w:val="FirstParagraph"/>
        <w:rPr/>
      </w:pPr>
      <w:bookmarkStart w:id="11" w:name="tissue-preservation"/>
      <w:r>
        <w:rPr/>
        <w:t>Upon completion of the leaf traits measurements, we prepared and preserved samples at the UC Merced Yosemite Field Station. We started by removing the main vein and margins from photosynthetic tissue. The leaf lamina was haphazardly cut with a sterile blade into 2 mm wide strip in parallel to the main vein (Arnold et al., 2003; Higgins et al., 2014; Tellez et al., 2022). Leaf strips were then sterilized with sequential washes in 95% EtOH (10 s), 0.5% sodium hypochlorite (NaOCl) (60 s), and 70% EtOH (60 s) and air dried under sterile conditions. Due to the small size of monkeyflower plants, the maximum amount of leaf lamina was preserved in sterile 15 mL tubes with ~ 10 mL CTAB solution (1 M Tris–HCl pH 8, 5 M NaCl, 0.5 M EDTA, and 20 g CTAB). The leaf tissue in CTAB solution was used for amplicon sequencing (described in detail below). All leaf tissue handling was performed in a sterile environment with an alcohol burner lamp inside a portable biosafety cabinet. All surfaces were previously sterilized sequentially with 0.5% NaOCl, 95% EtOH, and 70% EtOH. We surface sterilized surfaces and instruments in between sample handling to prevent cross contamination.</w:t>
      </w:r>
      <w:bookmarkEnd w:id="11"/>
    </w:p>
    <w:p>
      <w:pPr>
        <w:pStyle w:val="Heading3"/>
        <w:rPr/>
      </w:pPr>
      <w:bookmarkStart w:id="12" w:name="amplicon-sequencing"/>
      <w:r>
        <w:rPr/>
        <w:t>3.3.2 Amplicon sequencing</w:t>
      </w:r>
    </w:p>
    <w:p>
      <w:pPr>
        <w:pStyle w:val="FirstParagraph"/>
        <w:rPr/>
      </w:pPr>
      <w:r>
        <w:rPr/>
        <w:t>We stored leaf tissue in CTAB solution for 2 months at room temperature before extracting DNA at Tulane University. To prepare for sample DNA extraction procedure, we decontaminated all instruments, materials, and surfaces in biosafety cabinet with 0.5 % NaOCl, 70 % EtOH, and 95% EtOH, and subsequently treated with UV light for 30 minutes. We subsampled 0.2 - 0.3 g of leaf tissue from each sample and placed into a sterile 2 mL tubes containing an assortment of beads: 3.2 mm stainless steel beads (Next Advance, Cat# SSB32), 100 µL stainless steel bead blend, 0.9-2.0mm (NextAdvance, Cat# SSB14B) and 2-3 of the autoclaved 2 mm zirconium oxide beads (Next Advance, Cat# ZRoB20). The 2 mL tubes with beads were previously prepared. We then proceeded to lyophilize samples for 72 hours to fully remove CTAB content from tissue. After, we submerged the sample tubes in liquid nitrogen for 30 s and homogenized samples at 30 Hz for 3 minutes in a TissueLyser LT (QIAGEN, Valencia, CA, USA). We stored samples in 20 ℃ until DNA extraction procedure.</w:t>
      </w:r>
    </w:p>
    <w:p>
      <w:pPr>
        <w:pStyle w:val="BodyText"/>
        <w:rPr/>
      </w:pPr>
      <w:r>
        <w:rPr/>
        <w:t xml:space="preserve">We used a DNA extraction protocol for high-molecular weight DNA extraction adapted from Russo et al., (2022). Briefly, it is a CTAB:chloroform:isoamyl extraction combined with a solid-phase reversible immobilization (SPRI) bead step (Liu et al., 2023; Rohland &amp; Reich, 2012; Russo et al., 2022). Protocol modifications allowed us to optimize extractions for fungal DNA from preserved leaf tissue (see details in Aponte Rolón, 2023). After all genomic DNA was extracted, we quantified the DNA using Quant-iT® dsDNA HS Assay kit with Qubit Flourometer (Thermo Fisher Scientific, Waltham, MA, USA., Cat# Q33120) and followed a two-step amplification approach described by Sarmiento et al. (2017) and U’Ren &amp; Arnold (2017). We used standard primers ITS1F (Gardes &amp; Bruns, 1993) and ITS2 (White et al., 1990) modified with the Illumina TruSeq adaptor (see Supplementary Material). Every sample was amplified in three parallel reactions at the annealing temperatures 52 ℃, 54 ℃, and 56 ℃ to amplify a wide range of fungal taxa and reduce amplification bias for short ITS sequences (U’Ren &amp; Arnold, 2017; </w:t>
      </w:r>
      <w:r>
        <w:rPr>
          <w:b/>
          <w:bCs/>
        </w:rPr>
        <w:t>lumibao2018?</w:t>
      </w:r>
      <w:r>
        <w:rPr/>
        <w:t>). Each PCR (PCR1) reaction contained 2 µL of sample DNA template. We visualized PCR1 reactions with SYBR™ Safe DNA Gel Stain (Thermo Fisher Scientific, Waltham, MA, USA., Cat# S33102) on 2% agarose gel (Oita et al., 2021). We combined 5 µL of amplicon product from parallel reactions into a single tube per sample and purified using Sera-Mag™ SpeedBead Carboxylate-Modified Magnetic Particles (Hydrophobic) (Thermo Fisher Scientific, Waltham, MA, USA., Cat#09-981-123) prepared as per Liu et al. (2023) and used a ratio of 1.2x:1 with 80% EtOH following manufacturer’s instructions. We used 3 µL of PCR1 product from samples, DNA extraction controls, and PCR1 negative controls for a second PCR (PCR2) with barcoded adapters (IDT, Coralville, Iowa, USA). Each PCR2 reaction (total 30 µL) contained 1X Phusion Flash High Fidelity PCR Master Mix (Thermo Fisher Scientific, Waltham, MA, USA., Cat# F548L), 0.075 µM of barcoded primers (forward and reverse pooled at an initial concentration of 2 µM) and 0.20mg/mL of BSA (Thermo Fisher Scientific, Waltham, MA, USA., Cat# B14) following U’Ren &amp; Arnold (2017). Before final pooling for sequencing, we purified and concentrated amplicons using SPRI beads to a total volume of 20 µL. We quantified PCR2 product with Quant-iT™ PicoGreen™ dsDNA Assay Kit (Thermo Fisher Scientific, Waltham, MA, USA., Cat# P7589) with the BioTek Synergy LX plate reader (Agilent, Santa Clara, CA) and combined equimolar amounts of libraries, including DNA extraction controls, PCR1, and PCR2 negative controls into a 10nM library pool. We did not detect any contamination visually or fluorometrically. Libraries were sequenced on the Illumina MiSeq platform with Reagent Kit v3 (2 0D7 300 bp) at Duke Genome Sequencing and Analysis Core Facility (Durham, NC, USA). Throughout all these steps, we used a separate set of sterile pipettes, tips, and equipment to reduce contamination in a designated PCR area to restrict contact with pre-PCR materials (Oita et al., 2021).</w:t>
      </w:r>
      <w:bookmarkEnd w:id="12"/>
    </w:p>
    <w:p>
      <w:pPr>
        <w:pStyle w:val="Heading3"/>
        <w:rPr/>
      </w:pPr>
      <w:bookmarkStart w:id="13" w:name="bioinformatic-analyses"/>
      <w:r>
        <w:rPr/>
        <w:t>3.3.3 Bioinformatic analyses</w:t>
      </w:r>
    </w:p>
    <w:p>
      <w:pPr>
        <w:pStyle w:val="FirstParagraph"/>
        <w:rPr/>
      </w:pPr>
      <w:r>
        <w:rPr/>
        <w:t xml:space="preserve">We assessed the quality of the reads using FastQc v0.12.1 [ v0.12.1; Andrews et al. (2010)] and MultiQC (Ewels et al., 2016) tools. A total of 60,696,808 total ITS1 reads yielded from 343 (including 27 controls) libraries sequenced in two separate sequencing runs. The first sequencing event yielded 32,117,684 and the second 28,579,124 ITS1 reads. We tailored the open-source DADA2 bioinformatic pipeline for our data set (Callahan et al., 2016). Based on our initial quality assessment, both forward and reverse reads were of low quality, with base calls deteriorating after 100 bp. We filtered our reads for ambiguous calls before removing the adapters by using </w:t>
      </w:r>
      <w:r>
        <w:rPr>
          <w:rStyle w:val="VerbatimChar"/>
        </w:rPr>
        <w:t>filterAndTrim</w:t>
      </w:r>
      <w:r>
        <w:rPr/>
        <w:t xml:space="preserve"> function and argument </w:t>
      </w:r>
      <w:r>
        <w:rPr>
          <w:rStyle w:val="VerbatimChar"/>
        </w:rPr>
        <w:t>maxN = 0</w:t>
      </w:r>
      <w:r>
        <w:rPr/>
        <w:t xml:space="preserve"> from the </w:t>
      </w:r>
      <w:r>
        <w:rPr>
          <w:rStyle w:val="VerbatimChar"/>
        </w:rPr>
        <w:t>dada2</w:t>
      </w:r>
      <w:r>
        <w:rPr/>
        <w:t xml:space="preserve"> package [v1.28.0; Callahan et al. (2016)]. We removed forward and reverse primer adapters (and their reverse compliments) and eliminated reads shorter than 20 bp using the </w:t>
      </w:r>
      <w:r>
        <w:rPr>
          <w:rStyle w:val="VerbatimChar"/>
        </w:rPr>
        <w:t>cutadapt</w:t>
      </w:r>
      <w:r>
        <w:rPr/>
        <w:t xml:space="preserve"> tool (v4.6, Martin, 2011). After removing ambiguous calls and forward and reverse primers, we assessed the quality of the reads again and saw slight improvement. We proceeded to apply stringent filter and truncation parameters to ensure quality of reads when assigning taxonomy. We filtered and truncated reads based on maximum expected errors (maxEE) rather than read length as it provides a reliable quality filtering (Edgar &amp; Flyvbjerg, 2015). For this we set set the arguments </w:t>
      </w:r>
      <w:r>
        <w:rPr>
          <w:rStyle w:val="VerbatimChar"/>
        </w:rPr>
        <w:t>trunQ = 2</w:t>
      </w:r>
      <w:r>
        <w:rPr/>
        <w:t xml:space="preserve">, </w:t>
      </w:r>
      <w:r>
        <w:rPr>
          <w:rStyle w:val="VerbatimChar"/>
        </w:rPr>
        <w:t>maxEE = c(2,20)</w:t>
      </w:r>
      <w:r>
        <w:rPr/>
        <w:t xml:space="preserve"> for forward and reverse reads, and minimum read length of 50 bp with </w:t>
      </w:r>
      <w:r>
        <w:rPr>
          <w:rStyle w:val="VerbatimChar"/>
        </w:rPr>
        <w:t>minLen = 50</w:t>
      </w:r>
      <w:r>
        <w:rPr/>
        <w:t xml:space="preserve"> in the used the </w:t>
      </w:r>
      <w:r>
        <w:rPr>
          <w:rStyle w:val="VerbatimChar"/>
        </w:rPr>
        <w:t>filterAndTrim</w:t>
      </w:r>
      <w:r>
        <w:rPr/>
        <w:t xml:space="preserve"> function (Callahan et al., 2016). These parameters eliminated 151 samples from our data set, all from our second sequencing event. After this filter, we dereplicated reads with the </w:t>
      </w:r>
      <w:r>
        <w:rPr>
          <w:rStyle w:val="VerbatimChar"/>
        </w:rPr>
        <w:t>derepFastq</w:t>
      </w:r>
      <w:r>
        <w:rPr/>
        <w:t xml:space="preserve"> function and merged pairs using </w:t>
      </w:r>
      <w:r>
        <w:rPr>
          <w:rStyle w:val="VerbatimChar"/>
        </w:rPr>
        <w:t>mergePairs</w:t>
      </w:r>
      <w:r>
        <w:rPr/>
        <w:t xml:space="preserve"> functions with an overlap of 20 bp, minimum. We then inferred composition of the samples with </w:t>
      </w:r>
      <w:r>
        <w:rPr>
          <w:rStyle w:val="VerbatimChar"/>
        </w:rPr>
        <w:t>dada</w:t>
      </w:r>
      <w:r>
        <w:rPr/>
        <w:t xml:space="preserve"> function, which applies the DADA algorithm (Callahan et al., 2016; Rosen et al., 2012). We removed chimeras via the “consensus”method with the </w:t>
      </w:r>
      <w:r>
        <w:rPr>
          <w:rStyle w:val="VerbatimChar"/>
        </w:rPr>
        <w:t>removeBimeraDenovo</w:t>
      </w:r>
      <w:r>
        <w:rPr/>
        <w:t xml:space="preserve"> function and ultimately we used the </w:t>
      </w:r>
      <w:r>
        <w:rPr>
          <w:rStyle w:val="VerbatimChar"/>
        </w:rPr>
        <w:t>assignTaxonomy</w:t>
      </w:r>
      <w:r>
        <w:rPr/>
        <w:t xml:space="preserve"> function to assign taxonomy the amplicon sequence variants (ASV) referenced against the UNITE database (Abarenkov et al., 2023). After taxonomy assignment we used the </w:t>
      </w:r>
      <w:r>
        <w:rPr>
          <w:rStyle w:val="VerbatimChar"/>
        </w:rPr>
        <w:t>phyloseq</w:t>
      </w:r>
      <w:r>
        <w:rPr/>
        <w:t xml:space="preserve"> package (McMurdie &amp; Holmes, 2013) to create a phyloseq object for downstream analyses.</w:t>
      </w:r>
    </w:p>
    <w:p>
      <w:pPr>
        <w:pStyle w:val="BodyText"/>
        <w:rPr/>
      </w:pPr>
      <w:r>
        <w:rPr/>
        <w:t xml:space="preserve">We used the </w:t>
      </w:r>
      <w:r>
        <w:rPr>
          <w:rStyle w:val="VerbatimChar"/>
        </w:rPr>
        <w:t>decontam</w:t>
      </w:r>
      <w:r>
        <w:rPr/>
        <w:t xml:space="preserve"> package [v1.20.0; Davis et al. (2018)] to statistically determine which ASVs are likely contaminants based on their frequency in our samples and remove them using </w:t>
      </w:r>
      <w:r>
        <w:rPr>
          <w:rStyle w:val="VerbatimChar"/>
        </w:rPr>
        <w:t>prune_taxa</w:t>
      </w:r>
      <w:r>
        <w:rPr/>
        <w:t xml:space="preserve"> function from the </w:t>
      </w:r>
      <w:r>
        <w:rPr>
          <w:rStyle w:val="VerbatimChar"/>
        </w:rPr>
        <w:t>phyloseq</w:t>
      </w:r>
      <w:r>
        <w:rPr/>
        <w:t xml:space="preserve"> package [v1.44.0; McMurdie &amp; Holmes (2013)]. After which, we calculated the average read count found in DNA and PCR extraction controls, considered to be laboratory contaminants, and subtracted that from the samples’ read counts. We then used custom scripts to remove any ASV that represented less than 0.1% of the abundance per sample on the assumption that it originates from contamination throughout handling of samples in the DNA and PCR processes. We removed singleton ASVs with the </w:t>
      </w:r>
      <w:r>
        <w:rPr>
          <w:rStyle w:val="VerbatimChar"/>
        </w:rPr>
        <w:t>prune_taxa</w:t>
      </w:r>
      <w:r>
        <w:rPr/>
        <w:t xml:space="preserve"> function (McMurdie &amp; Holmes, 2013). All post-quality bioinformatic steps were performed in </w:t>
      </w:r>
      <w:r>
        <w:rPr>
          <w:i/>
          <w:iCs/>
        </w:rPr>
        <w:t>R</w:t>
      </w:r>
      <w:r>
        <w:rPr/>
        <w:t xml:space="preserve"> [v.4.3.2; R Core Team (2023)].</w:t>
      </w:r>
      <w:bookmarkEnd w:id="9"/>
      <w:bookmarkEnd w:id="13"/>
    </w:p>
    <w:p>
      <w:pPr>
        <w:pStyle w:val="Heading2"/>
        <w:rPr/>
      </w:pPr>
      <w:bookmarkStart w:id="14" w:name="statistical-analyses"/>
      <w:r>
        <w:rPr/>
        <w:t>3.4 Statistical Analyses</w:t>
      </w:r>
    </w:p>
    <w:p>
      <w:pPr>
        <w:pStyle w:val="Heading3"/>
        <w:rPr/>
      </w:pPr>
      <w:bookmarkStart w:id="15" w:name="community-diversity"/>
      <w:r>
        <w:rPr/>
        <w:t>3.4.1 Community Diversity</w:t>
      </w:r>
    </w:p>
    <w:p>
      <w:pPr>
        <w:pStyle w:val="FirstParagraph"/>
        <w:rPr/>
      </w:pPr>
      <w:r>
        <w:rPr/>
        <w:t>To account for uneven sampling effort and over-representation of sequences, we normalized libraries by repeated rarefying, following Cameron et al. (2021). We determined a sequence depth of 750 by calculating Good’s coverage and qualitative evaluation of libraries to determine a balanced coverage and breadth of samples (Schloss, 2024). This approach allowed for a proportionate representation of observed sequences from host species and a robust characterization of random variation inherent in rarefaction of small libraries (Cameron et al., 2021; Schloss, 2024). First, we randomly selected 136 samples out of the 157 that resulted from the bioinformatic pipeline (refer to the Results section below). The sample pool was reduced to 136 to match the theoretical reduction of one sample per site (</w:t>
      </w:r>
      <w:r>
        <w:rPr>
          <w:i/>
          <w:iCs/>
        </w:rPr>
        <w:t>n</w:t>
      </w:r>
      <w:r>
        <w:rPr/>
        <w:t xml:space="preserve"> = 21). We generated 50 rarefied abundance matrices without replacement by using the </w:t>
      </w:r>
      <w:r>
        <w:rPr>
          <w:rStyle w:val="VerbatimChar"/>
        </w:rPr>
        <w:t>mirl</w:t>
      </w:r>
      <w:r>
        <w:rPr/>
        <w:t xml:space="preserve"> function from the </w:t>
      </w:r>
      <w:r>
        <w:rPr>
          <w:rStyle w:val="VerbatimChar"/>
        </w:rPr>
        <w:t>mirlyn</w:t>
      </w:r>
      <w:r>
        <w:rPr/>
        <w:t xml:space="preserve"> package (Cameron et al., 2021). After which, we calculated alpha diversity per sample as Hill orders, the observed richness (𝑞 = 0), the exponent of Shannon’s entropy (𝑞 = 1), and the Inverse Simpson’s Diversity (𝑞 = 2) by applying a modified version of the function </w:t>
      </w:r>
      <w:r>
        <w:rPr>
          <w:rStyle w:val="VerbatimChar"/>
        </w:rPr>
        <w:t>alphadivDF</w:t>
      </w:r>
      <w:r>
        <w:rPr/>
        <w:t xml:space="preserve">(Cameron et al., 2021), which wraps the common diversity indices in </w:t>
      </w:r>
      <w:r>
        <w:rPr>
          <w:rStyle w:val="VerbatimChar"/>
        </w:rPr>
        <w:t>vegan</w:t>
      </w:r>
      <w:r>
        <w:rPr/>
        <w:t xml:space="preserve"> (Oksanen et al., 2022) (see custom script in Supplementary material). Finally, for beta diversity analyses, we performed a Hellinger transformation on the rarefied abundance matrices and calculated a Bray-Curtis dissimilarity matrix for each.</w:t>
      </w:r>
    </w:p>
    <w:p>
      <w:pPr>
        <w:pStyle w:val="BodyText"/>
        <w:rPr/>
      </w:pPr>
      <w:r>
        <w:rPr/>
        <w:t xml:space="preserve">We calculated simple linear regressions understand how different measures of alpha diversity changed in response to elevation. To answer how FEF communities differ </w:t>
      </w:r>
      <w:r>
        <w:rPr>
          <w:i/>
          <w:iCs/>
        </w:rPr>
        <w:t>among</w:t>
      </w:r>
      <w:r>
        <w:rPr/>
        <w:t xml:space="preserve"> host species (Q1) and </w:t>
      </w:r>
      <w:r>
        <w:rPr>
          <w:i/>
          <w:iCs/>
        </w:rPr>
        <w:t>between</w:t>
      </w:r>
      <w:r>
        <w:rPr/>
        <w:t xml:space="preserve"> sites (Q2) and facilitate our understanding of the effects of elevation on FEF communities, we categorized elevation as “low” (&lt; 1219 m.a.s.l), “mid” (1220 - 1828 m.a.s.l.) and “high” (&gt; 1829 m.a.s.l.). Additionally, we applied a distance-based Redundancy Analysis (dbRDA) on the Bray-Curtis dissimilarities to statistically compare the FEF community similarities within each host species per site (Q3). Its visualizations effectively portray underlying patterns of compositional differences (Anderson, 2017; Legendre &amp; Anderson, 1999; McArdle &amp; Anderson, 2001), akin to permutational analysis of variance. We calculated Spearman’s rho for all leaf traits (see below and Fig. S1) and informed our selection of leaf traits with results from the PCA (see below and Fig. 1), and selected those with the lowest correlation coefficient per host species: logLBI. Our initial dbRDA model consisted of terms logLBI, sampling date, site, and elevation (m). The leaf functional trait data, as well as elevation, was not randomized or subsampled to match rarefied dataset, the same values applied to all 50 rarefied matrices. For our initial model, we determined the variance inflation factor (VIF) of each term with function </w:t>
      </w:r>
      <w:r>
        <w:rPr>
          <w:rStyle w:val="VerbatimChar"/>
        </w:rPr>
        <w:t>vif.cca</w:t>
      </w:r>
      <w:r>
        <w:rPr/>
        <w:t xml:space="preserve"> and eliminated redundant ones: site and sampling date. We performed manual model selection by evaluating the marginal significance of constraining variables after 999 permutations with function </w:t>
      </w:r>
      <w:r>
        <w:rPr>
          <w:rStyle w:val="VerbatimChar"/>
        </w:rPr>
        <w:t>anova.cca</w:t>
      </w:r>
      <w:r>
        <w:rPr/>
        <w:t xml:space="preserve"> (Legendre et al., 2011; Legendre &amp; Legendre, 2012; Oksanen et al., 2022). We corroborated homogeneous dispersion of variances with a permutational analysis of multivariate dispersion (PERMDISP) using the </w:t>
      </w:r>
      <w:r>
        <w:rPr>
          <w:rStyle w:val="VerbatimChar"/>
        </w:rPr>
        <w:t>betadisper</w:t>
      </w:r>
      <w:r>
        <w:rPr/>
        <w:t xml:space="preserve"> with parameter </w:t>
      </w:r>
      <w:r>
        <w:rPr>
          <w:rStyle w:val="VerbatimChar"/>
        </w:rPr>
        <w:t>type = "median"</w:t>
      </w:r>
      <w:r>
        <w:rPr/>
        <w:t xml:space="preserve">, and </w:t>
      </w:r>
      <w:r>
        <w:rPr>
          <w:rStyle w:val="VerbatimChar"/>
        </w:rPr>
        <w:t>permutest</w:t>
      </w:r>
      <w:r>
        <w:rPr/>
        <w:t xml:space="preserve"> functions from </w:t>
      </w:r>
      <w:r>
        <w:rPr>
          <w:rStyle w:val="VerbatimChar"/>
        </w:rPr>
        <w:t>vegan</w:t>
      </w:r>
      <w:r>
        <w:rPr/>
        <w:t xml:space="preserve">, the latter with 999 permutations (Oksanen et al., 2022). We used a post-hoc Tukey’s test to compare the differences in the dispersion of the FEF communities among sites and elevation categories. We used the </w:t>
      </w:r>
      <w:r>
        <w:rPr>
          <w:rStyle w:val="VerbatimChar"/>
        </w:rPr>
        <w:t>simper</w:t>
      </w:r>
      <w:r>
        <w:rPr/>
        <w:t xml:space="preserve"> function from </w:t>
      </w:r>
      <w:r>
        <w:rPr>
          <w:rStyle w:val="VerbatimChar"/>
        </w:rPr>
        <w:t>vegan</w:t>
      </w:r>
      <w:r>
        <w:rPr/>
        <w:t xml:space="preserve"> to discriminate which species contribute the most to compositional differences between groups (Oksanen et al., 2022). To determine if there is a core FEF community associated with host species or elevation categories, we conducted an indicators species analyses (ISA) using the </w:t>
      </w:r>
      <w:r>
        <w:rPr>
          <w:rStyle w:val="VerbatimChar"/>
        </w:rPr>
        <w:t>multipatt</w:t>
      </w:r>
      <w:r>
        <w:rPr/>
        <w:t xml:space="preserve"> function from the </w:t>
      </w:r>
      <w:r>
        <w:rPr>
          <w:rStyle w:val="VerbatimChar"/>
        </w:rPr>
        <w:t>indicspecies</w:t>
      </w:r>
      <w:r>
        <w:rPr/>
        <w:t xml:space="preserve"> package (De Cáceres &amp; Legendre, 2009).</w:t>
      </w:r>
    </w:p>
    <w:p>
      <w:pPr>
        <w:pStyle w:val="BodyText"/>
        <w:rPr/>
      </w:pPr>
      <w:r>
        <w:rPr/>
        <w:t xml:space="preserve">To assess correlations between pairwise FEF community dissimilarity and the geographical distance matrix per host species (Q4), we computed a Mantel tests with Spearman’s rho and 999 permutations using the </w:t>
      </w:r>
      <w:r>
        <w:rPr>
          <w:rStyle w:val="VerbatimChar"/>
        </w:rPr>
        <w:t>mantel</w:t>
      </w:r>
      <w:r>
        <w:rPr/>
        <w:t xml:space="preserve"> function (Oksanen et al., 2022). For this test, we opted for a less taxing computational approach and rarefied sequences with the same parameters as before and calculated Hellinger transformations with the </w:t>
      </w:r>
      <w:r>
        <w:rPr>
          <w:rStyle w:val="VerbatimChar"/>
        </w:rPr>
        <w:t>avgdist</w:t>
      </w:r>
      <w:r>
        <w:rPr/>
        <w:t xml:space="preserve"> function (Oksanen et al., 2022). We then calculated the Bray-Curtis dissimilarity with </w:t>
      </w:r>
      <w:r>
        <w:rPr>
          <w:rStyle w:val="VerbatimChar"/>
        </w:rPr>
        <w:t>vegdist</w:t>
      </w:r>
      <w:r>
        <w:rPr/>
        <w:t xml:space="preserve"> (Oksanen et al., 2022). For the geographical distances between sites, we used </w:t>
      </w:r>
      <w:r>
        <w:rPr>
          <w:rStyle w:val="VerbatimChar"/>
        </w:rPr>
        <w:t>distm</w:t>
      </w:r>
      <w:r>
        <w:rPr/>
        <w:t xml:space="preserve"> function with the Vicenty (ellipsoid) method from the </w:t>
      </w:r>
      <w:r>
        <w:rPr>
          <w:rStyle w:val="VerbatimChar"/>
        </w:rPr>
        <w:t>geosphere</w:t>
      </w:r>
      <w:r>
        <w:rPr/>
        <w:t xml:space="preserve"> package (Hijmans, 2022).</w:t>
      </w:r>
      <w:bookmarkEnd w:id="15"/>
    </w:p>
    <w:p>
      <w:pPr>
        <w:pStyle w:val="Heading3"/>
        <w:rPr/>
      </w:pPr>
      <w:bookmarkStart w:id="16" w:name="leaf-traits"/>
      <w:r>
        <w:rPr/>
        <w:t>3.4.2 Leaf traits</w:t>
      </w:r>
    </w:p>
    <w:p>
      <w:pPr>
        <w:pStyle w:val="FirstParagraph"/>
        <w:rPr/>
      </w:pPr>
      <w:r>
        <w:rPr/>
        <w:t xml:space="preserve">We checked for normality and homoscedasticity of the leaf traits measured. We used Shapiro-Wilk and Fligner-Killen tests from the </w:t>
      </w:r>
      <w:r>
        <w:rPr>
          <w:rStyle w:val="VerbatimChar"/>
        </w:rPr>
        <w:t>stats</w:t>
      </w:r>
      <w:r>
        <w:rPr/>
        <w:t xml:space="preserve"> package (R Core Team, 2023) to check for normality and homoscedasticity, respectively. We established that the leaf funtional trait data was not normally distributed and not homoscedastic. We then used non-parametric tests, the Wilcoxon Rank Sum test, to compare leaf functional trait means among species and sites to answer the first portion of Q1 and Q2. We used the </w:t>
      </w:r>
      <w:r>
        <w:rPr>
          <w:rStyle w:val="VerbatimChar"/>
        </w:rPr>
        <w:t>compare_means</w:t>
      </w:r>
      <w:r>
        <w:rPr/>
        <w:t xml:space="preserve"> and </w:t>
      </w:r>
      <w:r>
        <w:rPr>
          <w:rStyle w:val="VerbatimChar"/>
        </w:rPr>
        <w:t>stat_compare_means</w:t>
      </w:r>
      <w:r>
        <w:rPr/>
        <w:t xml:space="preserve">functions from the </w:t>
      </w:r>
      <w:r>
        <w:rPr>
          <w:rStyle w:val="VerbatimChar"/>
        </w:rPr>
        <w:t>ggpubr</w:t>
      </w:r>
      <w:r>
        <w:rPr/>
        <w:t xml:space="preserve"> package (Kassambara, 2023) to perform these tests and properly visualize them. We adjusted </w:t>
      </w:r>
      <w:r>
        <w:rPr>
          <w:i/>
          <w:iCs/>
        </w:rPr>
        <w:t>p</w:t>
      </w:r>
      <w:r>
        <w:rPr/>
        <w:t xml:space="preserve"> values to account for false discovery rates in multiple comparisons by using “BH” method (Benjamini &amp; Hochberg, 1995). We performed Principal Component Analysis (PCA) to understand patterns and relationships among leaf traits of host species. We used the </w:t>
      </w:r>
      <w:r>
        <w:rPr>
          <w:rStyle w:val="VerbatimChar"/>
        </w:rPr>
        <w:t>prcomp</w:t>
      </w:r>
      <w:r>
        <w:rPr/>
        <w:t xml:space="preserve"> function from the </w:t>
      </w:r>
      <w:r>
        <w:rPr>
          <w:rStyle w:val="VerbatimChar"/>
        </w:rPr>
        <w:t>vegan</w:t>
      </w:r>
      <w:r>
        <w:rPr/>
        <w:t xml:space="preserve"> package (Oksanen et al., 2022) compute the PCA analysis with variables ACI, LT, LPS, LMA, and LBI, all log-transformed. We used only complete raw leaf functional traits measurements to compute the PCA analysis (</w:t>
      </w:r>
      <w:r>
        <w:rPr>
          <w:i/>
          <w:iCs/>
        </w:rPr>
        <w:t>n</w:t>
      </w:r>
      <w:r>
        <w:rPr/>
        <w:t xml:space="preserve"> = 504), samples with missing values were omitted. All statistical analyses were performed in </w:t>
      </w:r>
      <w:r>
        <w:rPr>
          <w:i/>
          <w:iCs/>
        </w:rPr>
        <w:t>R</w:t>
      </w:r>
      <w:r>
        <w:rPr/>
        <w:t xml:space="preserve"> programming language [v.4.3.2; R Core Team (2023)]. We present the log-transformed leaf functional trait data at the leaf level: ACI (</w:t>
      </w:r>
      <w:r>
        <w:rPr>
          <w:i/>
          <w:iCs/>
        </w:rPr>
        <w:t>n</w:t>
      </w:r>
      <w:r>
        <w:rPr/>
        <w:t xml:space="preserve"> = 851), LT (</w:t>
      </w:r>
      <w:r>
        <w:rPr>
          <w:i/>
          <w:iCs/>
        </w:rPr>
        <w:t>n</w:t>
      </w:r>
      <w:r>
        <w:rPr/>
        <w:t xml:space="preserve"> = 927), LPS (</w:t>
      </w:r>
      <w:r>
        <w:rPr>
          <w:i/>
          <w:iCs/>
        </w:rPr>
        <w:t>n</w:t>
      </w:r>
      <w:r>
        <w:rPr/>
        <w:t xml:space="preserve"> = 875), LMA (</w:t>
      </w:r>
      <w:r>
        <w:rPr>
          <w:i/>
          <w:iCs/>
        </w:rPr>
        <w:t>n</w:t>
      </w:r>
      <w:r>
        <w:rPr/>
        <w:t xml:space="preserve"> = 591), LBI (</w:t>
      </w:r>
      <w:r>
        <w:rPr>
          <w:i/>
          <w:iCs/>
        </w:rPr>
        <w:t>n</w:t>
      </w:r>
      <w:r>
        <w:rPr/>
        <w:t xml:space="preserve"> = 769). The FEF community data is presented at the plant/sample level (</w:t>
      </w:r>
      <w:r>
        <w:rPr>
          <w:i/>
          <w:iCs/>
        </w:rPr>
        <w:t>n</w:t>
      </w:r>
      <w:r>
        <w:rPr/>
        <w:t xml:space="preserve"> = 157).</w:t>
      </w:r>
      <w:bookmarkEnd w:id="5"/>
      <w:bookmarkEnd w:id="14"/>
      <w:bookmarkEnd w:id="16"/>
    </w:p>
    <w:p>
      <w:pPr>
        <w:pStyle w:val="Heading1"/>
        <w:rPr/>
      </w:pPr>
      <w:bookmarkStart w:id="17" w:name="results"/>
      <w:r>
        <w:rPr/>
        <w:t>4. Results</w:t>
      </w:r>
    </w:p>
    <w:p>
      <w:pPr>
        <w:pStyle w:val="FirstParagraph"/>
        <w:rPr/>
      </w:pPr>
      <w:r>
        <w:rPr/>
        <w:t xml:space="preserve">We obtained 5,082,229 reads representing 726 ASVs from 174 samples after processing samples through the DADA2 pipeline. The raw reads obtained were composed of 26.81% Ascomycota, 71.53% Basidiomycota, &lt;0.05% Chytridiomycota, &lt;0.5% Mortierellomycota, &lt;0.03% Olpidiomycota, 0.01% Rozellomycota, &lt;0.001% Aphelidiomycota, and 1.19% missed BLAST hits. After decontamination, and removal of singletons we obtained 4,856,220 reads representing 231 ASVs from 157 samples composed of 26% Ascomycota, 73% Basidiomycota, 0.01% Chytridiomycota, &lt;0.1% Mortierellomycota, 0.03% Olpidiomycota, &lt;0.002% Rozellomycota and &lt;1.0% unknown reads (Fig. 1 and Fig. S2). The presence of Ascomycota (92%) and Basidiomycota (97%) was consistent in samples across all sites and host species in the un-rarefied data (Table ??). Three core taxa members were detected in the un-rarefied data: </w:t>
      </w:r>
      <w:r>
        <w:rPr>
          <w:i/>
          <w:iCs/>
        </w:rPr>
        <w:t>Vishniacozyma victoriae</w:t>
      </w:r>
      <w:r>
        <w:rPr/>
        <w:t xml:space="preserve"> (Basidiomycota, ASV_1), </w:t>
      </w:r>
      <w:r>
        <w:rPr>
          <w:i/>
          <w:iCs/>
        </w:rPr>
        <w:t>Cladosporium herbanum</w:t>
      </w:r>
      <w:r>
        <w:rPr/>
        <w:t xml:space="preserve"> (Ascomycota, ASV_2) and </w:t>
      </w:r>
      <w:r>
        <w:rPr>
          <w:i/>
          <w:iCs/>
        </w:rPr>
        <w:t>Cladosporium</w:t>
      </w:r>
      <w:r>
        <w:rPr/>
        <w:t xml:space="preserve"> spp. (Ascomycota, ASV_7). The rarefied data contained three more core taxa: Dyszogia patagonica (ASV_3), </w:t>
      </w:r>
      <w:r>
        <w:rPr>
          <w:i/>
          <w:iCs/>
        </w:rPr>
        <w:t>Filobasidium chernovii</w:t>
      </w:r>
      <w:r>
        <w:rPr/>
        <w:t xml:space="preserve"> (Basidiomycota, ASV_5), and </w:t>
      </w:r>
      <w:r>
        <w:rPr>
          <w:i/>
          <w:iCs/>
        </w:rPr>
        <w:t>Alternaria tenuissima</w:t>
      </w:r>
      <w:r>
        <w:rPr/>
        <w:t xml:space="preserve"> (Ascomycota, ASV_8) (Fig. S2). The following section reports on results from the rarefied data sets.</w:t>
      </w:r>
    </w:p>
    <w:p>
      <w:pPr>
        <w:pStyle w:val="BodyText"/>
        <w:rPr/>
      </w:pPr>
      <w:r>
        <w:rPr/>
        <w:t>To determine the correlation between FEF diversity and elevation, we calculated simple linear regressions between elevation and alpha diversity (Q1). At the genus levels, we observed the complete data set we did see a statistically significant negative correlation between elevation and observed richness (𝑞 = 0) (R</w:t>
      </w:r>
      <w:r>
        <w:rPr>
          <w:vertAlign w:val="superscript"/>
        </w:rPr>
        <w:t>2</w:t>
      </w:r>
      <w:r>
        <w:rPr/>
        <w:t xml:space="preserve">-adjusted &lt; .01, </w:t>
      </w:r>
      <w:r>
        <w:rPr>
          <w:i/>
          <w:iCs/>
        </w:rPr>
        <w:t>F</w:t>
      </w:r>
      <w:r>
        <w:rPr>
          <w:vertAlign w:val="subscript"/>
        </w:rPr>
        <w:t>1,4198</w:t>
      </w:r>
      <w:r>
        <w:rPr/>
        <w:t xml:space="preserve">= 16.69, </w:t>
      </w:r>
      <w:r>
        <w:rPr>
          <w:i/>
          <w:iCs/>
        </w:rPr>
        <w:t>p</w:t>
      </w:r>
      <w:r>
        <w:rPr/>
        <w:t xml:space="preserve"> &lt; .001), the exponent of Shannon’s entropy (𝑞 = 1) (R</w:t>
      </w:r>
      <w:r>
        <w:rPr>
          <w:vertAlign w:val="superscript"/>
        </w:rPr>
        <w:t>2</w:t>
      </w:r>
      <w:r>
        <w:rPr/>
        <w:t xml:space="preserve">-adjusted &lt; .01, </w:t>
      </w:r>
      <w:r>
        <w:rPr>
          <w:i/>
          <w:iCs/>
        </w:rPr>
        <w:t>F</w:t>
      </w:r>
      <w:r>
        <w:rPr>
          <w:vertAlign w:val="subscript"/>
        </w:rPr>
        <w:t>1,4198</w:t>
      </w:r>
      <w:r>
        <w:rPr/>
        <w:t xml:space="preserve">= 37.91, </w:t>
      </w:r>
      <w:r>
        <w:rPr>
          <w:i/>
          <w:iCs/>
        </w:rPr>
        <w:t>p</w:t>
      </w:r>
      <w:r>
        <w:rPr/>
        <w:t xml:space="preserve"> &lt; .001), and the Inverse Simpson’s Diversity (𝑞 = 2) (R</w:t>
      </w:r>
      <w:r>
        <w:rPr>
          <w:vertAlign w:val="superscript"/>
        </w:rPr>
        <w:t>2</w:t>
      </w:r>
      <w:r>
        <w:rPr/>
        <w:t xml:space="preserve">-adjusted &lt; .01, </w:t>
      </w:r>
      <w:r>
        <w:rPr>
          <w:i/>
          <w:iCs/>
        </w:rPr>
        <w:t>F</w:t>
      </w:r>
      <w:r>
        <w:rPr>
          <w:vertAlign w:val="subscript"/>
        </w:rPr>
        <w:t>1,4198</w:t>
      </w:r>
      <w:r>
        <w:rPr/>
        <w:t xml:space="preserve">= 23.73, </w:t>
      </w:r>
      <w:r>
        <w:rPr>
          <w:i/>
          <w:iCs/>
        </w:rPr>
        <w:t>p</w:t>
      </w:r>
      <w:r>
        <w:rPr/>
        <w:t xml:space="preserve"> &lt; .001). At the species level, we observed a significant decrease as elevation increased in all alpha diversity measures (Fig. S2A - S2C), with the exception of </w:t>
      </w:r>
      <w:r>
        <w:rPr>
          <w:i/>
          <w:iCs/>
        </w:rPr>
        <w:t>M. guttatus</w:t>
      </w:r>
      <w:r>
        <w:rPr/>
        <w:t xml:space="preserve"> which had no significant change in Hill orders 1 and 2 (Fig. 2B - 2C). The alpha diversity measures from rarefied data showed significant differences between all host species, except </w:t>
      </w:r>
      <w:r>
        <w:rPr>
          <w:i/>
          <w:iCs/>
        </w:rPr>
        <w:t>M. laciniatus</w:t>
      </w:r>
      <w:r>
        <w:rPr/>
        <w:t xml:space="preserve"> and </w:t>
      </w:r>
      <w:r>
        <w:rPr>
          <w:i/>
          <w:iCs/>
        </w:rPr>
        <w:t>M. nasutus</w:t>
      </w:r>
      <w:r>
        <w:rPr/>
        <w:t xml:space="preserve"> in Hill order 1 (𝑞 = 1, </w:t>
      </w:r>
      <w:r>
        <w:rPr>
          <w:i/>
          <w:iCs/>
        </w:rPr>
        <w:t>p</w:t>
      </w:r>
      <w:r>
        <w:rPr/>
        <w:t xml:space="preserve"> &gt; .05, Fig. 3B). We observed a similar pattern in beta diversity between elevation sites (Fig. 3D -3C). We saw no differences in beta diversity between low and mid elevation sites for Hill order 2 (𝑞 = 2, </w:t>
      </w:r>
      <w:r>
        <w:rPr>
          <w:i/>
          <w:iCs/>
        </w:rPr>
        <w:t>p</w:t>
      </w:r>
      <w:r>
        <w:rPr/>
        <w:t xml:space="preserve"> &gt; 0.05, Fig. 3F).</w:t>
      </w:r>
    </w:p>
    <w:p>
      <w:pPr>
        <w:pStyle w:val="BodyText"/>
        <w:rPr/>
      </w:pPr>
      <w:r>
        <w:rPr/>
        <w:t>To test for differences in FEF community composition, we used a distance-based Redundancy Analysis (dbRDA) to model the relationship between FEF communities, leaf functional traits and elevation (Q3). The best fit model revealed that 17% of the overall variance in FEF communities was accounted for by log-transformed LBI, host species, and elevation, the constraining variables. We saw that the first axis (dbRDA1) explained 65.8% and the second axis (dbRDA2) explained 15.3% of the constrained variance (Fig. 4). We observed a distinct, yet overlapping, grouping of FEF communities by species (Fig. 4A), as well as when visualized by elevation category (Fig. 4B). Elevation tracks along the dbRDA1 axis while logLBI is diagonal to the axes (Fig. 5). We found that LBI and elevation are significantly correlated with FEF communities (PERMANOVA TABLE COMMING SOON). To corroborate our findings, we used a permutational analysis of multivariate dispersion (PERMDISP) to test for homogeneity of variances in FEF communities. We found that FEF communities were homogeneous across all species (</w:t>
      </w:r>
      <w:r>
        <w:rPr>
          <w:i/>
          <w:iCs/>
        </w:rPr>
        <w:t>F</w:t>
      </w:r>
      <w:r>
        <w:rPr>
          <w:vertAlign w:val="subscript"/>
        </w:rPr>
        <w:t>2,4197</w:t>
      </w:r>
      <w:r>
        <w:rPr/>
        <w:t xml:space="preserve">= 320.3, </w:t>
      </w:r>
      <w:r>
        <w:rPr>
          <w:i/>
          <w:iCs/>
        </w:rPr>
        <w:t>p</w:t>
      </w:r>
      <w:r>
        <w:rPr/>
        <w:t xml:space="preserve"> &lt; .001). The post-hoc Tukey’s test revealed that all species comparison differences were statistically significant at ⍺ = 0.05. We detected significant differences in the dispersion of FEF communities by elevation category (</w:t>
      </w:r>
      <w:r>
        <w:rPr>
          <w:i/>
          <w:iCs/>
        </w:rPr>
        <w:t>F</w:t>
      </w:r>
      <w:r>
        <w:rPr>
          <w:vertAlign w:val="subscript"/>
        </w:rPr>
        <w:t>2,4197</w:t>
      </w:r>
      <w:r>
        <w:rPr/>
        <w:t xml:space="preserve">= 228.1, </w:t>
      </w:r>
      <w:r>
        <w:rPr>
          <w:i/>
          <w:iCs/>
        </w:rPr>
        <w:t>p</w:t>
      </w:r>
      <w:r>
        <w:rPr/>
        <w:t xml:space="preserve"> &lt; .001). The post-hoc Tukey’s test showed that all elevation categories had significant differences in the dispersion of FEF communities at ⍺ = 0.05. Finally, we tested for FEF community dissimilarity by geographical distance and found a statistically significant positive correlation when we observed all host species (</w:t>
      </w:r>
      <w:r>
        <w:rPr>
          <w:i/>
          <w:iCs/>
        </w:rPr>
        <w:t>r</w:t>
      </w:r>
      <w:r>
        <w:rPr/>
        <w:t xml:space="preserve"> = .07, </w:t>
      </w:r>
      <w:r>
        <w:rPr>
          <w:i/>
          <w:iCs/>
        </w:rPr>
        <w:t>p</w:t>
      </w:r>
      <w:r>
        <w:rPr/>
        <w:t xml:space="preserve"> &lt; .05, Fig. 5A). At the host species level, we saw a significant correlation between FEF community and geographical distance for </w:t>
      </w:r>
      <w:r>
        <w:rPr>
          <w:i/>
          <w:iCs/>
        </w:rPr>
        <w:t>M. laciniatus</w:t>
      </w:r>
      <w:r>
        <w:rPr/>
        <w:t xml:space="preserve"> (</w:t>
      </w:r>
      <w:r>
        <w:rPr>
          <w:i/>
          <w:iCs/>
        </w:rPr>
        <w:t>r</w:t>
      </w:r>
      <w:r>
        <w:rPr/>
        <w:t xml:space="preserve"> = 0.27, </w:t>
      </w:r>
      <w:r>
        <w:rPr>
          <w:i/>
          <w:iCs/>
        </w:rPr>
        <w:t>p</w:t>
      </w:r>
      <w:r>
        <w:rPr/>
        <w:t xml:space="preserve"> = .01, Fig. 5A) and </w:t>
      </w:r>
      <w:r>
        <w:rPr>
          <w:i/>
          <w:iCs/>
        </w:rPr>
        <w:t>M. nasutus</w:t>
      </w:r>
      <w:r>
        <w:rPr/>
        <w:t xml:space="preserve"> (</w:t>
      </w:r>
      <w:r>
        <w:rPr>
          <w:i/>
          <w:iCs/>
        </w:rPr>
        <w:t>r</w:t>
      </w:r>
      <w:r>
        <w:rPr/>
        <w:t xml:space="preserve"> = .29, </w:t>
      </w:r>
      <w:r>
        <w:rPr>
          <w:i/>
          <w:iCs/>
        </w:rPr>
        <w:t>p</w:t>
      </w:r>
      <w:r>
        <w:rPr/>
        <w:t xml:space="preserve"> &lt; .01, Fig. 5B) . For </w:t>
      </w:r>
      <w:r>
        <w:rPr>
          <w:i/>
          <w:iCs/>
        </w:rPr>
        <w:t>M. guttatus</w:t>
      </w:r>
      <w:r>
        <w:rPr/>
        <w:t xml:space="preserve"> we saw a negative correlation between FEF communities and geographic distance (</w:t>
      </w:r>
      <w:r>
        <w:rPr>
          <w:i/>
          <w:iCs/>
        </w:rPr>
        <w:t>r</w:t>
      </w:r>
      <w:r>
        <w:rPr/>
        <w:t xml:space="preserve"> = -.004, </w:t>
      </w:r>
      <w:r>
        <w:rPr>
          <w:i/>
          <w:iCs/>
        </w:rPr>
        <w:t>p</w:t>
      </w:r>
      <w:r>
        <w:rPr/>
        <w:t xml:space="preserve"> = .48, Fig. 5B).</w:t>
      </w:r>
    </w:p>
    <w:p>
      <w:pPr>
        <w:pStyle w:val="BodyText"/>
        <w:rPr/>
      </w:pPr>
      <w:r>
        <w:rPr/>
        <w:t xml:space="preserve">Our PCA analysis showed how leaf functional traits were related (Q3-Q4). We plotted leaf functional traits according to species groups on the PCA axes to show how the variance in the complete data set is explained by PC1 (42.57%) and PC2 (23.27%) (Fig. 6). The PCA analyses showed correlations between ACI, LT, LPS, and LMA as loadings tracked along PC1 towards positive values (Fig. 6). We observed that LBI loading is orthogonal along PC2 to the other traits, indicative of low correlation. We note distinct groupings by species along PC2 such that </w:t>
      </w:r>
      <w:r>
        <w:rPr>
          <w:i/>
          <w:iCs/>
        </w:rPr>
        <w:t>M. laciniatus</w:t>
      </w:r>
      <w:r>
        <w:rPr/>
        <w:t xml:space="preserve">, the most lobed species, is distinct from </w:t>
      </w:r>
      <w:r>
        <w:rPr>
          <w:i/>
          <w:iCs/>
        </w:rPr>
        <w:t>M.gutatus</w:t>
      </w:r>
      <w:r>
        <w:rPr/>
        <w:t xml:space="preserve"> and </w:t>
      </w:r>
      <w:r>
        <w:rPr>
          <w:i/>
          <w:iCs/>
        </w:rPr>
        <w:t>M. nasutus</w:t>
      </w:r>
      <w:r>
        <w:rPr/>
        <w:t>. The latter two overlap along PC1 and PC2 (Fig. 6).</w:t>
      </w:r>
    </w:p>
    <w:p>
      <w:pPr>
        <w:pStyle w:val="BodyText"/>
        <w:rPr/>
      </w:pPr>
      <w:r>
        <w:rPr/>
        <w:t xml:space="preserve">We found that leaf functional traits differed among and within </w:t>
      </w:r>
      <w:r>
        <w:rPr>
          <w:i/>
          <w:iCs/>
        </w:rPr>
        <w:t>Mimulus</w:t>
      </w:r>
      <w:r>
        <w:rPr/>
        <w:t xml:space="preserve"> species across elevation (Fig. S3 - S7). For LMA, when we observed all host species, we saw a statistically significant positive correlation between LMA and elevation (R</w:t>
      </w:r>
      <w:r>
        <w:rPr>
          <w:vertAlign w:val="superscript"/>
        </w:rPr>
        <w:t>2</w:t>
      </w:r>
      <w:r>
        <w:rPr/>
        <w:t xml:space="preserve">-adjusted = .041, </w:t>
      </w:r>
      <w:r>
        <w:rPr>
          <w:i/>
          <w:iCs/>
        </w:rPr>
        <w:t>p</w:t>
      </w:r>
      <w:r>
        <w:rPr/>
        <w:t xml:space="preserve"> &lt; .001, Fig. S3A). When we observed this relationship with categorical elevation, we found that species do not differ in LMA values at low elevations (Fig. S3B). At mid elevations, </w:t>
      </w:r>
      <w:r>
        <w:rPr>
          <w:i/>
          <w:iCs/>
        </w:rPr>
        <w:t>M. laciniatus</w:t>
      </w:r>
      <w:r>
        <w:rPr/>
        <w:t xml:space="preserve"> and </w:t>
      </w:r>
      <w:r>
        <w:rPr>
          <w:i/>
          <w:iCs/>
        </w:rPr>
        <w:t>M. guttatus</w:t>
      </w:r>
      <w:r>
        <w:rPr/>
        <w:t xml:space="preserve"> have statistically significant differences in LMA (</w:t>
      </w:r>
      <w:r>
        <w:rPr>
          <w:i/>
          <w:iCs/>
        </w:rPr>
        <w:t>p</w:t>
      </w:r>
      <w:r>
        <w:rPr/>
        <w:t xml:space="preserve"> &lt; .001), while at high elevation this difference dissipates. At high elevation we saw that </w:t>
      </w:r>
      <w:r>
        <w:rPr>
          <w:i/>
          <w:iCs/>
        </w:rPr>
        <w:t>M. nasutus</w:t>
      </w:r>
      <w:r>
        <w:rPr/>
        <w:t xml:space="preserve"> differs significantly from both </w:t>
      </w:r>
      <w:r>
        <w:rPr>
          <w:i/>
          <w:iCs/>
        </w:rPr>
        <w:t>M. laciniatus</w:t>
      </w:r>
      <w:r>
        <w:rPr/>
        <w:t xml:space="preserve"> and </w:t>
      </w:r>
      <w:r>
        <w:rPr>
          <w:i/>
          <w:iCs/>
        </w:rPr>
        <w:t>M. guttatus</w:t>
      </w:r>
      <w:r>
        <w:rPr/>
        <w:t xml:space="preserve"> (</w:t>
      </w:r>
      <w:r>
        <w:rPr>
          <w:i/>
          <w:iCs/>
        </w:rPr>
        <w:t>p</w:t>
      </w:r>
      <w:r>
        <w:rPr/>
        <w:t xml:space="preserve"> &lt; .0001, Fig. S3B). For ACI, when we observed all species, we found no correlation with elevation (R</w:t>
      </w:r>
      <w:r>
        <w:rPr>
          <w:vertAlign w:val="superscript"/>
        </w:rPr>
        <w:t>2</w:t>
      </w:r>
      <w:r>
        <w:rPr/>
        <w:t xml:space="preserve">-adjusted &lt; -.000, </w:t>
      </w:r>
      <w:r>
        <w:rPr>
          <w:i/>
          <w:iCs/>
        </w:rPr>
        <w:t>p</w:t>
      </w:r>
      <w:r>
        <w:rPr/>
        <w:t xml:space="preserve"> &lt; .0001, Fig. S4A). But when we observed the elevation categories we saw that </w:t>
      </w:r>
      <w:r>
        <w:rPr>
          <w:i/>
          <w:iCs/>
        </w:rPr>
        <w:t>M. laciniatus</w:t>
      </w:r>
      <w:r>
        <w:rPr/>
        <w:t xml:space="preserve"> had statistically significant differences (</w:t>
      </w:r>
      <w:r>
        <w:rPr>
          <w:i/>
          <w:iCs/>
        </w:rPr>
        <w:t>p</w:t>
      </w:r>
      <w:r>
        <w:rPr/>
        <w:t xml:space="preserve"> &lt; .0001) from </w:t>
      </w:r>
      <w:r>
        <w:rPr>
          <w:i/>
          <w:iCs/>
        </w:rPr>
        <w:t>M. nasutus</w:t>
      </w:r>
      <w:r>
        <w:rPr/>
        <w:t xml:space="preserve"> and </w:t>
      </w:r>
      <w:r>
        <w:rPr>
          <w:i/>
          <w:iCs/>
        </w:rPr>
        <w:t>M. guttatus</w:t>
      </w:r>
      <w:r>
        <w:rPr/>
        <w:t xml:space="preserve">, while the latter two did not differ (Fig. S4B). At mid elevation we saw that </w:t>
      </w:r>
      <w:r>
        <w:rPr>
          <w:i/>
          <w:iCs/>
        </w:rPr>
        <w:t>M. laciniatus</w:t>
      </w:r>
      <w:r>
        <w:rPr/>
        <w:t xml:space="preserve"> and </w:t>
      </w:r>
      <w:r>
        <w:rPr>
          <w:i/>
          <w:iCs/>
        </w:rPr>
        <w:t>M. guttatus</w:t>
      </w:r>
      <w:r>
        <w:rPr/>
        <w:t xml:space="preserve"> had statistically significant differences (</w:t>
      </w:r>
      <w:r>
        <w:rPr>
          <w:i/>
          <w:iCs/>
        </w:rPr>
        <w:t>p</w:t>
      </w:r>
      <w:r>
        <w:rPr/>
        <w:t xml:space="preserve"> &lt; .0001), while at high elevations </w:t>
      </w:r>
      <w:r>
        <w:rPr>
          <w:i/>
          <w:iCs/>
        </w:rPr>
        <w:t>M. laciniatus</w:t>
      </w:r>
      <w:r>
        <w:rPr/>
        <w:t xml:space="preserve"> had significantly lower levels (</w:t>
      </w:r>
      <w:r>
        <w:rPr>
          <w:i/>
          <w:iCs/>
        </w:rPr>
        <w:t>p</w:t>
      </w:r>
      <w:r>
        <w:rPr/>
        <w:t xml:space="preserve"> &lt; .0001) of ACI than </w:t>
      </w:r>
      <w:r>
        <w:rPr>
          <w:i/>
          <w:iCs/>
        </w:rPr>
        <w:t>M. nasutus</w:t>
      </w:r>
      <w:r>
        <w:rPr/>
        <w:t xml:space="preserve">, and </w:t>
      </w:r>
      <w:r>
        <w:rPr>
          <w:i/>
          <w:iCs/>
        </w:rPr>
        <w:t>M. guttatus</w:t>
      </w:r>
      <w:r>
        <w:rPr/>
        <w:t xml:space="preserve"> (</w:t>
      </w:r>
      <w:r>
        <w:rPr>
          <w:i/>
          <w:iCs/>
        </w:rPr>
        <w:t>p</w:t>
      </w:r>
      <w:r>
        <w:rPr/>
        <w:t xml:space="preserve"> &lt; .01, Fig. S4B). We also saw statistically significant differences between </w:t>
      </w:r>
      <w:r>
        <w:rPr>
          <w:i/>
          <w:iCs/>
        </w:rPr>
        <w:t>M. nasutus</w:t>
      </w:r>
      <w:r>
        <w:rPr/>
        <w:t xml:space="preserve"> and </w:t>
      </w:r>
      <w:r>
        <w:rPr>
          <w:i/>
          <w:iCs/>
        </w:rPr>
        <w:t>M. guttatus</w:t>
      </w:r>
      <w:r>
        <w:rPr/>
        <w:t xml:space="preserve"> at high elevations (</w:t>
      </w:r>
      <w:r>
        <w:rPr>
          <w:i/>
          <w:iCs/>
        </w:rPr>
        <w:t>p</w:t>
      </w:r>
      <w:r>
        <w:rPr/>
        <w:t xml:space="preserve"> &lt; .0001)(Fig. S4B). The LBI trait is a measure of leaf “lobeness” and it is confounded with species, since not all host species exhibit the trait plasticity with elevation change. Regardless, our comparisons show that LBI is significantly correlated with elevation (Fig. S5A). Our categorical comparison shows that </w:t>
      </w:r>
      <w:r>
        <w:rPr>
          <w:i/>
          <w:iCs/>
        </w:rPr>
        <w:t>M. laciniatus</w:t>
      </w:r>
      <w:r>
        <w:rPr/>
        <w:t xml:space="preserve"> had statistically significant greater values of LBI compared to </w:t>
      </w:r>
      <w:r>
        <w:rPr>
          <w:i/>
          <w:iCs/>
        </w:rPr>
        <w:t>M. nasutus</w:t>
      </w:r>
      <w:r>
        <w:rPr/>
        <w:t xml:space="preserve"> and </w:t>
      </w:r>
      <w:r>
        <w:rPr>
          <w:i/>
          <w:iCs/>
        </w:rPr>
        <w:t>M. guttatus</w:t>
      </w:r>
      <w:r>
        <w:rPr/>
        <w:t xml:space="preserve"> at all elevation categories (Fig. S5B). At low elevations, </w:t>
      </w:r>
      <w:r>
        <w:rPr>
          <w:i/>
          <w:iCs/>
        </w:rPr>
        <w:t>M. nasutus</w:t>
      </w:r>
      <w:r>
        <w:rPr/>
        <w:t xml:space="preserve"> and </w:t>
      </w:r>
      <w:r>
        <w:rPr>
          <w:i/>
          <w:iCs/>
        </w:rPr>
        <w:t>M. guttatus</w:t>
      </w:r>
      <w:r>
        <w:rPr/>
        <w:t xml:space="preserve"> did not differ, but they did have significant differences at high elevations (p &lt; .0001, Fig. S5B). Our measure of leaf toughness, LPS, was significantly positively correlated with elevation (R</w:t>
      </w:r>
      <w:r>
        <w:rPr>
          <w:vertAlign w:val="superscript"/>
        </w:rPr>
        <w:t>2</w:t>
      </w:r>
      <w:r>
        <w:rPr/>
        <w:t xml:space="preserve">-adjusted = .004, </w:t>
      </w:r>
      <w:r>
        <w:rPr>
          <w:i/>
          <w:iCs/>
        </w:rPr>
        <w:t>p</w:t>
      </w:r>
      <w:r>
        <w:rPr/>
        <w:t xml:space="preserve"> = .032, Fig. S6A). At low elevations we saw a statistically significant difference in LPS between </w:t>
      </w:r>
      <w:r>
        <w:rPr>
          <w:i/>
          <w:iCs/>
        </w:rPr>
        <w:t>M. nasutus</w:t>
      </w:r>
      <w:r>
        <w:rPr/>
        <w:t xml:space="preserve"> and </w:t>
      </w:r>
      <w:r>
        <w:rPr>
          <w:i/>
          <w:iCs/>
        </w:rPr>
        <w:t>M. guttatus</w:t>
      </w:r>
      <w:r>
        <w:rPr/>
        <w:t xml:space="preserve"> (</w:t>
      </w:r>
      <w:r>
        <w:rPr>
          <w:i/>
          <w:iCs/>
        </w:rPr>
        <w:t>p</w:t>
      </w:r>
      <w:r>
        <w:rPr/>
        <w:t xml:space="preserve"> &lt; .01), while at mid elevations </w:t>
      </w:r>
      <w:r>
        <w:rPr>
          <w:i/>
          <w:iCs/>
        </w:rPr>
        <w:t>M. laciniatus</w:t>
      </w:r>
      <w:r>
        <w:rPr/>
        <w:t xml:space="preserve"> and </w:t>
      </w:r>
      <w:r>
        <w:rPr>
          <w:i/>
          <w:iCs/>
        </w:rPr>
        <w:t>M. guttatus</w:t>
      </w:r>
      <w:r>
        <w:rPr/>
        <w:t xml:space="preserve"> showed a similar pattern (</w:t>
      </w:r>
      <w:r>
        <w:rPr>
          <w:i/>
          <w:iCs/>
        </w:rPr>
        <w:t>p</w:t>
      </w:r>
      <w:r>
        <w:rPr/>
        <w:t xml:space="preserve"> &lt; .0001, Fig. S6B). At high elevations we only saw significant differences between </w:t>
      </w:r>
      <w:r>
        <w:rPr>
          <w:i/>
          <w:iCs/>
        </w:rPr>
        <w:t>M. laciniatus</w:t>
      </w:r>
      <w:r>
        <w:rPr/>
        <w:t xml:space="preserve"> and </w:t>
      </w:r>
      <w:r>
        <w:rPr>
          <w:i/>
          <w:iCs/>
        </w:rPr>
        <w:t>M. nasutus</w:t>
      </w:r>
      <w:r>
        <w:rPr/>
        <w:t xml:space="preserve"> (</w:t>
      </w:r>
      <w:r>
        <w:rPr>
          <w:i/>
          <w:iCs/>
        </w:rPr>
        <w:t>p</w:t>
      </w:r>
      <w:r>
        <w:rPr/>
        <w:t xml:space="preserve"> &lt; .01, Fig. S6B). Finally, we saw a significant positive correlation between LT and elevation (R</w:t>
      </w:r>
      <w:r>
        <w:rPr>
          <w:vertAlign w:val="superscript"/>
        </w:rPr>
        <w:t>2</w:t>
      </w:r>
      <w:r>
        <w:rPr/>
        <w:t xml:space="preserve">-adjusted = .013, </w:t>
      </w:r>
      <w:r>
        <w:rPr>
          <w:i/>
          <w:iCs/>
        </w:rPr>
        <w:t>p</w:t>
      </w:r>
      <w:r>
        <w:rPr/>
        <w:t xml:space="preserve"> &lt; .0001), when we observe all species together (Fig. S7A). We only see statistically significant differences between </w:t>
      </w:r>
      <w:r>
        <w:rPr>
          <w:i/>
          <w:iCs/>
        </w:rPr>
        <w:t>M. laciniatus</w:t>
      </w:r>
      <w:r>
        <w:rPr/>
        <w:t xml:space="preserve"> and </w:t>
      </w:r>
      <w:r>
        <w:rPr>
          <w:i/>
          <w:iCs/>
        </w:rPr>
        <w:t>M. nasutus</w:t>
      </w:r>
      <w:r>
        <w:rPr/>
        <w:t xml:space="preserve"> at low elevations(</w:t>
      </w:r>
      <w:r>
        <w:rPr>
          <w:i/>
          <w:iCs/>
        </w:rPr>
        <w:t>p</w:t>
      </w:r>
      <w:r>
        <w:rPr/>
        <w:t xml:space="preserve"> &lt; .05), while at mid we see significant differences between </w:t>
      </w:r>
      <w:r>
        <w:rPr>
          <w:i/>
          <w:iCs/>
        </w:rPr>
        <w:t>M. laciniatus</w:t>
      </w:r>
      <w:r>
        <w:rPr/>
        <w:t xml:space="preserve"> and </w:t>
      </w:r>
      <w:r>
        <w:rPr>
          <w:i/>
          <w:iCs/>
        </w:rPr>
        <w:t>M. guttatus</w:t>
      </w:r>
      <w:r>
        <w:rPr/>
        <w:t xml:space="preserve"> (</w:t>
      </w:r>
      <w:r>
        <w:rPr>
          <w:i/>
          <w:iCs/>
        </w:rPr>
        <w:t>p</w:t>
      </w:r>
      <w:r>
        <w:rPr/>
        <w:t xml:space="preserve"> &lt; .0001) and at high elevations as well (</w:t>
      </w:r>
      <w:r>
        <w:rPr>
          <w:i/>
          <w:iCs/>
        </w:rPr>
        <w:t>p</w:t>
      </w:r>
      <w:r>
        <w:rPr/>
        <w:t xml:space="preserve"> &lt; .0001, Fig. S7B). At high elevations, </w:t>
      </w:r>
      <w:r>
        <w:rPr>
          <w:i/>
          <w:iCs/>
        </w:rPr>
        <w:t>M. guttatus</w:t>
      </w:r>
      <w:r>
        <w:rPr/>
        <w:t xml:space="preserve"> and </w:t>
      </w:r>
      <w:r>
        <w:rPr>
          <w:i/>
          <w:iCs/>
        </w:rPr>
        <w:t>M. nasutus</w:t>
      </w:r>
      <w:r>
        <w:rPr/>
        <w:t xml:space="preserve"> also show significant differences (</w:t>
      </w:r>
      <w:r>
        <w:rPr>
          <w:i/>
          <w:iCs/>
        </w:rPr>
        <w:t>p</w:t>
      </w:r>
      <w:r>
        <w:rPr/>
        <w:t xml:space="preserve"> &lt; .0001, Fig. S7B).</w:t>
      </w:r>
      <w:bookmarkEnd w:id="17"/>
    </w:p>
    <w:p>
      <w:pPr>
        <w:pStyle w:val="Heading1"/>
        <w:rPr/>
      </w:pPr>
      <w:bookmarkStart w:id="18" w:name="discussion"/>
      <w:r>
        <w:rPr/>
        <w:t>5. Discussion</w:t>
      </w:r>
    </w:p>
    <w:p>
      <w:pPr>
        <w:pStyle w:val="FirstParagraph"/>
        <w:rPr/>
      </w:pPr>
      <w:r>
        <w:rPr/>
        <w:t xml:space="preserve">Our dbRDA results (Fig. 4) indicate that LBI, host species, and elevation, account for 17% of the variance in FEF community composition. Subsequent PERMDISP analyses also support significant differences in FEF community composition between host species and at low, mid, and high elevations. Further insight from our Mantel tests indicate a significant correlation between FEF community dissimilarity and geographical distance at the genus level, rather than at the host species level, providing additional evidence in support of spatial driven differences in FEF community composition in </w:t>
      </w:r>
      <w:r>
        <w:rPr>
          <w:i/>
          <w:iCs/>
        </w:rPr>
        <w:t>Mimulus</w:t>
      </w:r>
      <w:r>
        <w:rPr/>
        <w:t xml:space="preserve">. Our findings, overall support the idea that distinct FEF communities are structured by the interplay of host species and elevation. We saw a a consistent prevalence of </w:t>
      </w:r>
      <w:r>
        <w:rPr>
          <w:i/>
          <w:iCs/>
        </w:rPr>
        <w:t>Vishniacozyma victoriae</w:t>
      </w:r>
      <w:r>
        <w:rPr/>
        <w:t xml:space="preserve">, </w:t>
      </w:r>
      <w:r>
        <w:rPr>
          <w:i/>
          <w:iCs/>
        </w:rPr>
        <w:t>Cladosporium herbanum</w:t>
      </w:r>
      <w:r>
        <w:rPr/>
        <w:t xml:space="preserve">, and </w:t>
      </w:r>
      <w:r>
        <w:rPr>
          <w:i/>
          <w:iCs/>
        </w:rPr>
        <w:t>Cladosporium</w:t>
      </w:r>
      <w:r>
        <w:rPr/>
        <w:t xml:space="preserve"> spp. in un-rarefied and rarefied data across all sites and samples. Cladosporium spp. is a well documented environmental fungi that occur in fading or dead leaves of herbaceaus and woody plants (Samson et al., 2004; Schubert et al., 2007). The basidiomycetous yeast </w:t>
      </w:r>
      <w:r>
        <w:rPr>
          <w:i/>
          <w:iCs/>
        </w:rPr>
        <w:t>V. vitoriae</w:t>
      </w:r>
      <w:r>
        <w:rPr/>
        <w:t xml:space="preserve"> (formerly </w:t>
      </w:r>
      <w:r>
        <w:rPr>
          <w:i/>
          <w:iCs/>
        </w:rPr>
        <w:t>Cryptococcus vistoriae</w:t>
      </w:r>
      <w:r>
        <w:rPr/>
        <w:t xml:space="preserve">) is also a well known environmentally abundant fungi capable of causing respiratory issues (Rush et al., 2023). It was first isolated in the Antarctic (Montes et al., 1999) and has since been detected worldwide (De Menezes et al., 2019). Despite potential respiratory health detriments, </w:t>
      </w:r>
      <w:r>
        <w:rPr>
          <w:i/>
          <w:iCs/>
        </w:rPr>
        <w:t>V. victoriae</w:t>
      </w:r>
      <w:r>
        <w:rPr/>
        <w:t xml:space="preserve"> has been utilized in agricultural settings for the post-harvest control of fruit diseases (Lutz et al., 2020). It thrives at low temperatures (15 °C), but it is known to tolerate a variety of environmental conditions, and lacks a polysacharide capsule, which is thought to contribute to its lack of pathogenicity [rush2023]. It applications in wheat agriculture suggest that kernel weight is influenced by </w:t>
      </w:r>
      <w:r>
        <w:rPr>
          <w:i/>
          <w:iCs/>
        </w:rPr>
        <w:t>V. victoriae</w:t>
      </w:r>
      <w:r>
        <w:rPr/>
        <w:t>’s coexistence with other plant acquired endophytic fungi (Vujanovic, 2021). Its presence might serve as an indicators of wheat’s kernel resistance to pathobiota (Lutz et al., 2020). It is proposed that through the production of various bio-active compound, it can contribute to plant growth and ecological adaptation to cold environment (Buzzini et al., 2018; Vujanovic, 2021). According to Vujanovic (</w:t>
      </w:r>
      <w:r>
        <w:rPr>
          <w:b/>
          <w:bCs/>
        </w:rPr>
        <w:t>vujanovic?</w:t>
      </w:r>
      <w:r>
        <w:rPr/>
        <w:t xml:space="preserve">) and Ogaki et al. (2020), no antagonism has been detected between </w:t>
      </w:r>
      <w:r>
        <w:rPr>
          <w:i/>
          <w:iCs/>
        </w:rPr>
        <w:t>V. victoriae</w:t>
      </w:r>
      <w:r>
        <w:rPr/>
        <w:t xml:space="preserve"> with other yeasts, and plant pathogens. We are in need of further quantitative studies to confirm the existence of cold-adapted microbial taxa and their associated hosts (Marian et al., 2022). The presence of </w:t>
      </w:r>
      <w:r>
        <w:rPr>
          <w:i/>
          <w:iCs/>
        </w:rPr>
        <w:t>V. victoriae</w:t>
      </w:r>
      <w:r>
        <w:rPr/>
        <w:t xml:space="preserve"> in our samples might be indicative of its potential role in the local adaptation of </w:t>
      </w:r>
      <w:r>
        <w:rPr>
          <w:i/>
          <w:iCs/>
        </w:rPr>
        <w:t>Mimulus</w:t>
      </w:r>
      <w:r>
        <w:rPr/>
        <w:t xml:space="preserve"> to cold and high elevation environments.</w:t>
      </w:r>
    </w:p>
    <w:p>
      <w:pPr>
        <w:pStyle w:val="BodyText"/>
        <w:rPr/>
      </w:pPr>
      <w:r>
        <w:rPr/>
        <w:t xml:space="preserve">The observed decline in alpha diversity and changes in beta diversity with increased elevation echoes macroecological patterns of biodiversity (Jiménez-Hernández et al., 2020; Kraft et al., 2011; Sabatini et al., 2018; Villacampa et al., 2019). This quintessential question is still relevant to plan-microbe interactions since altitudinal gradients can serve as a proxy to predict species distribution in future climate conditions (Kazenel et al., 2019). For microbial ecology, patterns of diversity and community composition exhibit more nuances. In an experimental setup, Kivlin et al (Kivlin et al., 2022) reported that host species (alpine grasses) was a stronger predictor of alpha diversity and community composition of leaf endophytes. In contrast, root endophyte community responded to both host species and elevation (Kivlin et al., 2022). Our results point to significant decline alpha diversity as elevation increases, as well as significant differences in community composition due to elevation change for all host species. It is possible that this is due to different phenologies, and tissue types of herbaceous and gramineous plants. Similarly, Kezenel et al. (2019) to found greater change in leaf endophytes due to altitude and warming when compared to root colonizing fungi, but the direction and magnitude of responses varied among host species and fungal functional groups. A major difference in this study is the low ASV count and the use of multiple rarefied data sets compared to Kazenel et al. (2019). A study by Cordier et al. (2012) focused on the fungal phyllosphere in European beech along an elevation gradient, found that climatic variables, especially temperature, were best correlated with fungal community dissimilarities. The effect of site and sampling day was a significant factor determining fungal phyllosphere composition (Cordier et al., 2012). While the phyllosphere of beech varies widely, Cordier et al. (2012), found a strong affinity of fungal taxa to elevation site supporting regional spatial structure. An important distinction is that they focus on the outer and inner phyllosphere, hence observed patterns might better reflect the outer leaf dynamics, more susceptible to climatic factors, as opposed inner leaf dynamics we explore in our study. Another key difference is the host species phenology and function leaf traits of European beech compared to </w:t>
      </w:r>
      <w:r>
        <w:rPr>
          <w:i/>
          <w:iCs/>
        </w:rPr>
        <w:t>Mimulus</w:t>
      </w:r>
      <w:r>
        <w:rPr/>
        <w:t>.</w:t>
      </w:r>
    </w:p>
    <w:p>
      <w:pPr>
        <w:pStyle w:val="BodyText"/>
        <w:rPr/>
      </w:pPr>
      <w:r>
        <w:rPr/>
        <w:t xml:space="preserve">Our results show how leaf functional traits differ among and within </w:t>
      </w:r>
      <w:r>
        <w:rPr>
          <w:i/>
          <w:iCs/>
        </w:rPr>
        <w:t>Mimulus</w:t>
      </w:r>
      <w:r>
        <w:rPr/>
        <w:t xml:space="preserve"> species across elevation. Specifically LMA, LBI, LPS and LT, show a positive correlation with elevation at the genus level, reflecting a conserved plastic response to environmental changes along elevation. When we conducted Principal Component Analysis (PCA) (Fig 1) illustrated correlations between leaf functional traits while demonstrating the distinct groupings of </w:t>
      </w:r>
      <w:r>
        <w:rPr>
          <w:i/>
          <w:iCs/>
        </w:rPr>
        <w:t>M. laciniatus</w:t>
      </w:r>
      <w:r>
        <w:rPr/>
        <w:t xml:space="preserve">, </w:t>
      </w:r>
      <w:r>
        <w:rPr>
          <w:i/>
          <w:iCs/>
        </w:rPr>
        <w:t>M. guttatus</w:t>
      </w:r>
      <w:r>
        <w:rPr/>
        <w:t xml:space="preserve">, and </w:t>
      </w:r>
      <w:r>
        <w:rPr>
          <w:i/>
          <w:iCs/>
        </w:rPr>
        <w:t>M. nasutus</w:t>
      </w:r>
      <w:r>
        <w:rPr/>
        <w:t xml:space="preserve"> based on LBI differences compared to the rest of the traits, ACI, LMA, LPS and LT. The distinct grouping of host species along LBI trait reflects findings by XXXXX and XXXXX in previous studies showing how lobed leaves are more common in alpine environments, where they are thought to be an adaptation to reduce water loss and increase heat dissipation [CITE]. </w:t>
      </w:r>
      <w:r>
        <w:rPr>
          <w:i/>
          <w:iCs/>
        </w:rPr>
        <w:t>Mimulus laciniatus</w:t>
      </w:r>
      <w:r>
        <w:rPr/>
        <w:t xml:space="preserve"> is considered the most lobed species (Fig. 6 and Fig. S5)[CITE all evidence here], and thrives at higher elevation. Future investigations can help tease apart the effect of mutualist FEF on host </w:t>
      </w:r>
      <w:r>
        <w:rPr>
          <w:i/>
          <w:iCs/>
        </w:rPr>
        <w:t>M. laciniatus</w:t>
      </w:r>
      <w:r>
        <w:rPr/>
        <w:t xml:space="preserve"> success in cold temperature and high elevation environments.</w:t>
      </w:r>
      <w:bookmarkEnd w:id="18"/>
    </w:p>
    <w:p>
      <w:pPr>
        <w:pStyle w:val="Heading1"/>
        <w:rPr/>
      </w:pPr>
      <w:bookmarkStart w:id="19" w:name="conclusions"/>
      <w:r>
        <w:rPr/>
        <w:t>6. Conclusions</w:t>
      </w:r>
    </w:p>
    <w:p>
      <w:pPr>
        <w:pStyle w:val="FirstParagraph"/>
        <w:rPr/>
      </w:pPr>
      <w:r>
        <w:rPr/>
        <w:t xml:space="preserve">The </w:t>
      </w:r>
      <w:r>
        <w:rPr>
          <w:i/>
          <w:iCs/>
        </w:rPr>
        <w:t>Mimulus guttatus</w:t>
      </w:r>
      <w:r>
        <w:rPr/>
        <w:t xml:space="preserve"> species complex serves as a robust ecological and evolutionary model system. The identification of FEF communities in </w:t>
      </w:r>
      <w:r>
        <w:rPr>
          <w:i/>
          <w:iCs/>
        </w:rPr>
        <w:t>Mimulus</w:t>
      </w:r>
      <w:r>
        <w:rPr/>
        <w:t xml:space="preserve"> spp. leaf tissue represents a substantial contribution to this field of study, opening up new avenues or inquiry. Our study uncovers potential beneficial FEFs that may contribute to the species complex’s adaptation to cold environments. Future research should focus on exploring the interactions of FEF communities and </w:t>
      </w:r>
      <w:r>
        <w:rPr>
          <w:i/>
          <w:iCs/>
        </w:rPr>
        <w:t>Mimulus</w:t>
      </w:r>
      <w:r>
        <w:rPr/>
        <w:t xml:space="preserve"> host genotypes that contribute to the expanded phenotype. As well as, understanding how highly prevalent FEF taxa respond to seasonal and temporal changes and contribute to overall plant fitness. An experimental approach taking into consideration populations’ phenotype and genotypes can help disentangle the effect of site and host species on FEF communities. To optimize microbial studies in </w:t>
      </w:r>
      <w:r>
        <w:rPr>
          <w:i/>
          <w:iCs/>
        </w:rPr>
        <w:t>Mimulus</w:t>
      </w:r>
      <w:r>
        <w:rPr/>
        <w:t>, it crucial to explore alternative sampling methods such as using fresh tissue or rapidly preserved tissue in liquid nitrogen, which is known to yield the best results. We also acknowledge our limited scope and urge future investigations to expand their sampling efforts per species and populations while prioritizing prompt DNA extraction to enhance FEF capture.</w:t>
      </w:r>
      <w:bookmarkEnd w:id="19"/>
    </w:p>
    <w:p>
      <w:pPr>
        <w:pStyle w:val="Heading1"/>
        <w:rPr/>
      </w:pPr>
      <w:bookmarkStart w:id="20" w:name="author-contributions"/>
      <w:r>
        <w:rPr/>
        <w:t>7. Author Contributions</w:t>
      </w:r>
      <w:bookmarkEnd w:id="20"/>
    </w:p>
    <w:p>
      <w:pPr>
        <w:pStyle w:val="Heading1"/>
        <w:rPr/>
      </w:pPr>
      <w:bookmarkStart w:id="21" w:name="acknowledgements"/>
      <w:r>
        <w:rPr/>
        <w:t>8. Acknowledgements</w:t>
      </w:r>
      <w:bookmarkEnd w:id="21"/>
    </w:p>
    <w:p>
      <w:pPr>
        <w:pStyle w:val="Heading1"/>
        <w:rPr/>
      </w:pPr>
      <w:bookmarkStart w:id="22" w:name="conflict-of-interest-statement"/>
      <w:r>
        <w:rPr/>
        <w:t>9. Conflict of Interest Statement</w:t>
      </w:r>
    </w:p>
    <w:p>
      <w:pPr>
        <w:pStyle w:val="FirstParagraph"/>
        <w:rPr/>
      </w:pPr>
      <w:bookmarkStart w:id="23" w:name="conflict-of-interest-statement"/>
      <w:r>
        <w:rPr/>
        <w:t>The authors declare no competing interests.</w:t>
      </w:r>
      <w:bookmarkEnd w:id="23"/>
    </w:p>
    <w:p>
      <w:pPr>
        <w:pStyle w:val="Heading1"/>
        <w:rPr/>
      </w:pPr>
      <w:bookmarkStart w:id="24" w:name="data-availability-statement"/>
      <w:r>
        <w:rPr/>
        <w:t>10. Data Availability Statement</w:t>
      </w:r>
      <w:bookmarkEnd w:id="24"/>
    </w:p>
    <w:p>
      <w:pPr>
        <w:pStyle w:val="Heading1"/>
        <w:rPr/>
      </w:pPr>
      <w:bookmarkStart w:id="25" w:name="references"/>
      <w:r>
        <w:rPr/>
        <w:t>11. References</w:t>
      </w:r>
    </w:p>
    <w:p>
      <w:pPr>
        <w:pStyle w:val="Bibliography"/>
        <w:rPr/>
      </w:pPr>
      <w:bookmarkStart w:id="26" w:name="refs"/>
      <w:bookmarkStart w:id="27" w:name="ref-abarenkov2023a"/>
      <w:r>
        <w:rPr/>
        <w:t xml:space="preserve">Abarenkov, K., Zirk, A., Piirmann, T., Pöhönen, R., Ivanov, F., Nilsson, R. H., &amp; Kõljalg, U. (2023). </w:t>
      </w:r>
      <w:r>
        <w:rPr>
          <w:i/>
          <w:iCs/>
        </w:rPr>
        <w:t>UNITE general FASTA release for Fungi</w:t>
      </w:r>
      <w:r>
        <w:rPr/>
        <w:t xml:space="preserve"> [Application/gzip]. UNITE Community. </w:t>
      </w:r>
      <w:hyperlink r:id="rId3">
        <w:r>
          <w:rPr>
            <w:rStyle w:val="Hyperlink"/>
          </w:rPr>
          <w:t>https://doi.org/10.15156/BIO/2938067</w:t>
        </w:r>
      </w:hyperlink>
      <w:bookmarkEnd w:id="27"/>
    </w:p>
    <w:p>
      <w:pPr>
        <w:pStyle w:val="Bibliography"/>
        <w:rPr/>
      </w:pPr>
      <w:bookmarkStart w:id="28" w:name="ref-anderson2017"/>
      <w:r>
        <w:rPr/>
        <w:t xml:space="preserve">Anderson, M. J. (2017). Permutational Multivariate Analysis of Variance ( PERMANOVA ). In </w:t>
      </w:r>
      <w:r>
        <w:rPr>
          <w:i/>
          <w:iCs/>
        </w:rPr>
        <w:t>Wiley StatsRef: Statistics Reference Online</w:t>
      </w:r>
      <w:r>
        <w:rPr/>
        <w:t xml:space="preserve"> (pp. 1–15). Wiley. </w:t>
      </w:r>
      <w:hyperlink r:id="rId4">
        <w:r>
          <w:rPr>
            <w:rStyle w:val="Hyperlink"/>
          </w:rPr>
          <w:t>https://doi.org/10.1002/9781118445112.stat07841</w:t>
        </w:r>
      </w:hyperlink>
      <w:bookmarkEnd w:id="28"/>
    </w:p>
    <w:p>
      <w:pPr>
        <w:pStyle w:val="Bibliography"/>
        <w:rPr/>
      </w:pPr>
      <w:bookmarkStart w:id="29" w:name="ref-andrews2010"/>
      <w:r>
        <w:rPr/>
        <w:t xml:space="preserve">Andrews, S., Krueger, F., Segonds-Pichon, A., Biggins, L., Krueger, C., &amp; Wingett, S. (2010). </w:t>
      </w:r>
      <w:r>
        <w:rPr>
          <w:i/>
          <w:iCs/>
        </w:rPr>
        <w:t>FastQC</w:t>
      </w:r>
      <w:r>
        <w:rPr/>
        <w:t xml:space="preserve"> (Version 0.12.1) [Computer software]. Babraham Institute.</w:t>
      </w:r>
      <w:bookmarkEnd w:id="29"/>
    </w:p>
    <w:p>
      <w:pPr>
        <w:pStyle w:val="Bibliography"/>
        <w:rPr/>
      </w:pPr>
      <w:bookmarkStart w:id="30" w:name="ref-aponterolon2023"/>
      <w:r>
        <w:rPr/>
        <w:t xml:space="preserve">Aponte Rolón, B. (2023). </w:t>
      </w:r>
      <w:r>
        <w:rPr>
          <w:i/>
          <w:iCs/>
        </w:rPr>
        <w:t>High-Molecular-Weight SPRI-aided DNA extraction from Mimulus (Phrymaceae) leaf tissue.</w:t>
      </w:r>
      <w:r>
        <w:rPr/>
        <w:t xml:space="preserve"> </w:t>
      </w:r>
      <w:hyperlink r:id="rId5">
        <w:r>
          <w:rPr>
            <w:rStyle w:val="Hyperlink"/>
          </w:rPr>
          <w:t>https://doi.org/dx.doi.org/10.17504/protocols.io.bp2l6xn8rlqe/v2</w:t>
        </w:r>
      </w:hyperlink>
      <w:bookmarkEnd w:id="30"/>
    </w:p>
    <w:p>
      <w:pPr>
        <w:pStyle w:val="Bibliography"/>
        <w:rPr/>
      </w:pPr>
      <w:bookmarkStart w:id="31" w:name="ref-arnold2003"/>
      <w:r>
        <w:rPr/>
        <w:t xml:space="preserve">Arnold, A. E., Mejía, L. C., Kyllo, D., Rojas, E. I., Maynard, Z., Robbins, N., &amp; Herre, E. A. (2003). Fungal endophytes limit pathogen damage in a tropical tree. </w:t>
      </w:r>
      <w:r>
        <w:rPr>
          <w:i/>
          <w:iCs/>
        </w:rPr>
        <w:t>Proceedings of the National Academy of Sciences</w:t>
      </w:r>
      <w:r>
        <w:rPr/>
        <w:t xml:space="preserve">, </w:t>
      </w:r>
      <w:r>
        <w:rPr>
          <w:i/>
          <w:iCs/>
        </w:rPr>
        <w:t>100</w:t>
      </w:r>
      <w:r>
        <w:rPr/>
        <w:t>(26), 15649–15654.</w:t>
      </w:r>
      <w:bookmarkEnd w:id="31"/>
    </w:p>
    <w:p>
      <w:pPr>
        <w:pStyle w:val="Bibliography"/>
        <w:rPr/>
      </w:pPr>
      <w:bookmarkStart w:id="32" w:name="ref-benjamini1995"/>
      <w:r>
        <w:rPr/>
        <w:t xml:space="preserve">Benjamini, Y., &amp; Hochberg, Y. (1995). Controlling the False Discovery Rate: A Practical and Powerful Approach to Multiple Testing. </w:t>
      </w:r>
      <w:r>
        <w:rPr>
          <w:i/>
          <w:iCs/>
        </w:rPr>
        <w:t>Journal of the Royal Statistical Society: Series B (Methodological)</w:t>
      </w:r>
      <w:r>
        <w:rPr/>
        <w:t xml:space="preserve">, </w:t>
      </w:r>
      <w:r>
        <w:rPr>
          <w:i/>
          <w:iCs/>
        </w:rPr>
        <w:t>57</w:t>
      </w:r>
      <w:r>
        <w:rPr/>
        <w:t xml:space="preserve">(1), 289–300. </w:t>
      </w:r>
      <w:hyperlink r:id="rId6">
        <w:r>
          <w:rPr>
            <w:rStyle w:val="Hyperlink"/>
          </w:rPr>
          <w:t>https://doi.org/10.1111/j.2517-6161.1995.tb02031.x</w:t>
        </w:r>
      </w:hyperlink>
      <w:bookmarkEnd w:id="32"/>
    </w:p>
    <w:p>
      <w:pPr>
        <w:pStyle w:val="Bibliography"/>
        <w:rPr/>
      </w:pPr>
      <w:bookmarkStart w:id="33" w:name="ref-beslile2012"/>
      <w:r>
        <w:rPr/>
        <w:t xml:space="preserve">Beslile, M., Peay, K. G., &amp; Fukami, T. (2012). Flowers as islands: Spatial distribution of nectar-inhabiting microfungi among plants of Mimulus aurantiacus, a hummingbird-pollinated shrub. </w:t>
      </w:r>
      <w:r>
        <w:rPr>
          <w:i/>
          <w:iCs/>
        </w:rPr>
        <w:t>Microbial Ecology</w:t>
      </w:r>
      <w:r>
        <w:rPr/>
        <w:t xml:space="preserve">, </w:t>
      </w:r>
      <w:r>
        <w:rPr>
          <w:i/>
          <w:iCs/>
        </w:rPr>
        <w:t>63</w:t>
      </w:r>
      <w:r>
        <w:rPr/>
        <w:t xml:space="preserve">(4), 711–718. </w:t>
      </w:r>
      <w:hyperlink r:id="rId7">
        <w:r>
          <w:rPr>
            <w:rStyle w:val="Hyperlink"/>
          </w:rPr>
          <w:t>https://doi.org/10.1007/s00248-011-9975-8.Flowers</w:t>
        </w:r>
      </w:hyperlink>
      <w:bookmarkEnd w:id="33"/>
    </w:p>
    <w:p>
      <w:pPr>
        <w:pStyle w:val="Bibliography"/>
        <w:rPr/>
      </w:pPr>
      <w:bookmarkStart w:id="34" w:name="ref-buzzini2018"/>
      <w:r>
        <w:rPr/>
        <w:t xml:space="preserve">Buzzini, P., Turchetti, B., &amp; Yurkov, A. (2018). Extremophilic yeasts: The toughest yeasts around? </w:t>
      </w:r>
      <w:r>
        <w:rPr>
          <w:i/>
          <w:iCs/>
        </w:rPr>
        <w:t>Yeast</w:t>
      </w:r>
      <w:r>
        <w:rPr/>
        <w:t xml:space="preserve">, </w:t>
      </w:r>
      <w:r>
        <w:rPr>
          <w:i/>
          <w:iCs/>
        </w:rPr>
        <w:t>35</w:t>
      </w:r>
      <w:r>
        <w:rPr/>
        <w:t xml:space="preserve">(8), 487–497. </w:t>
      </w:r>
      <w:hyperlink r:id="rId8">
        <w:r>
          <w:rPr>
            <w:rStyle w:val="Hyperlink"/>
          </w:rPr>
          <w:t>https://doi.org/10.1002/yea.3314</w:t>
        </w:r>
      </w:hyperlink>
      <w:bookmarkEnd w:id="34"/>
    </w:p>
    <w:p>
      <w:pPr>
        <w:pStyle w:val="Bibliography"/>
        <w:rPr/>
      </w:pPr>
      <w:bookmarkStart w:id="35" w:name="ref-callahan2016"/>
      <w:r>
        <w:rPr/>
        <w:t xml:space="preserve">Callahan, B. J., McMurdie, P. J., Rosen, M. J., Han, A. W., Johnson, A. J. A., &amp; Holmes, S. P. (2016). DADA2: High-resolution sample inference from Illumina amplicon data. </w:t>
      </w:r>
      <w:r>
        <w:rPr>
          <w:i/>
          <w:iCs/>
        </w:rPr>
        <w:t>Nature Methods</w:t>
      </w:r>
      <w:r>
        <w:rPr/>
        <w:t xml:space="preserve">, </w:t>
      </w:r>
      <w:r>
        <w:rPr>
          <w:i/>
          <w:iCs/>
        </w:rPr>
        <w:t>13</w:t>
      </w:r>
      <w:r>
        <w:rPr/>
        <w:t xml:space="preserve">(7), 581–583. </w:t>
      </w:r>
      <w:hyperlink r:id="rId9">
        <w:r>
          <w:rPr>
            <w:rStyle w:val="Hyperlink"/>
          </w:rPr>
          <w:t>https://doi.org/10.1038/nmeth.3869</w:t>
        </w:r>
      </w:hyperlink>
      <w:bookmarkEnd w:id="35"/>
    </w:p>
    <w:p>
      <w:pPr>
        <w:pStyle w:val="Bibliography"/>
        <w:rPr/>
      </w:pPr>
      <w:bookmarkStart w:id="36" w:name="ref-cameron2021"/>
      <w:r>
        <w:rPr/>
        <w:t xml:space="preserve">Cameron, E., Schmidt, P., Tremblay, B., Emelko, M., &amp; Müller, K. (2021). Enhancing diversity analysis by repeatedly rarefying next generation sequencing data describing microbial communities. </w:t>
      </w:r>
      <w:r>
        <w:rPr>
          <w:i/>
          <w:iCs/>
        </w:rPr>
        <w:t>Scientific Reports</w:t>
      </w:r>
      <w:r>
        <w:rPr/>
        <w:t xml:space="preserve">, </w:t>
      </w:r>
      <w:r>
        <w:rPr>
          <w:i/>
          <w:iCs/>
        </w:rPr>
        <w:t>11</w:t>
      </w:r>
      <w:r>
        <w:rPr/>
        <w:t xml:space="preserve">, 22302. </w:t>
      </w:r>
      <w:hyperlink r:id="rId10">
        <w:r>
          <w:rPr>
            <w:rStyle w:val="Hyperlink"/>
          </w:rPr>
          <w:t>https://doi.org/10.1038/s41598-021-01636-1</w:t>
        </w:r>
      </w:hyperlink>
      <w:bookmarkEnd w:id="36"/>
    </w:p>
    <w:p>
      <w:pPr>
        <w:pStyle w:val="Bibliography"/>
        <w:rPr/>
      </w:pPr>
      <w:bookmarkStart w:id="37" w:name="ref-cordier2012"/>
      <w:r>
        <w:rPr/>
        <w:t xml:space="preserve">Cordier, T., Robin, C., Capdevielle, X., Fabreguettes, O., Desprez-Loustau, M.-L., &amp; Vacher, C. (2012). The composition of phyllosphere fungal assemblages of European beech (Fagus sylvatica) varies significantly along an elevation gradient. </w:t>
      </w:r>
      <w:r>
        <w:rPr>
          <w:i/>
          <w:iCs/>
        </w:rPr>
        <w:t>New Phytologist</w:t>
      </w:r>
      <w:r>
        <w:rPr/>
        <w:t xml:space="preserve">, </w:t>
      </w:r>
      <w:r>
        <w:rPr>
          <w:i/>
          <w:iCs/>
        </w:rPr>
        <w:t>196</w:t>
      </w:r>
      <w:r>
        <w:rPr/>
        <w:t xml:space="preserve">(2), 510–519. </w:t>
      </w:r>
      <w:hyperlink r:id="rId11">
        <w:r>
          <w:rPr>
            <w:rStyle w:val="Hyperlink"/>
          </w:rPr>
          <w:t>https://doi.org/10.1111/j.1469-8137.2012.04284.x</w:t>
        </w:r>
      </w:hyperlink>
      <w:bookmarkEnd w:id="37"/>
    </w:p>
    <w:p>
      <w:pPr>
        <w:pStyle w:val="Bibliography"/>
        <w:rPr/>
      </w:pPr>
      <w:bookmarkStart w:id="38" w:name="ref-davis2018"/>
      <w:r>
        <w:rPr/>
        <w:t xml:space="preserve">Davis, N. M., Proctor, D. M., Holmes, S. P., Relman, D. A., &amp; Callahan, B. J. (2018). Simple statistical identification and removal of contaminant sequences in marker-gene and metagenomics data. </w:t>
      </w:r>
      <w:r>
        <w:rPr>
          <w:i/>
          <w:iCs/>
        </w:rPr>
        <w:t>Microbiome</w:t>
      </w:r>
      <w:r>
        <w:rPr/>
        <w:t xml:space="preserve">, </w:t>
      </w:r>
      <w:r>
        <w:rPr>
          <w:i/>
          <w:iCs/>
        </w:rPr>
        <w:t>6</w:t>
      </w:r>
      <w:r>
        <w:rPr/>
        <w:t xml:space="preserve">(1), 226. </w:t>
      </w:r>
      <w:hyperlink r:id="rId12">
        <w:r>
          <w:rPr>
            <w:rStyle w:val="Hyperlink"/>
          </w:rPr>
          <w:t>https://doi.org/10.1186/s40168-018-0605-2</w:t>
        </w:r>
      </w:hyperlink>
      <w:bookmarkEnd w:id="38"/>
    </w:p>
    <w:p>
      <w:pPr>
        <w:pStyle w:val="Bibliography"/>
        <w:rPr/>
      </w:pPr>
      <w:bookmarkStart w:id="39" w:name="ref-decaceres2009"/>
      <w:r>
        <w:rPr/>
        <w:t xml:space="preserve">De Cáceres, M., &amp; Legendre, P. (2009). Associations between species and groups of sites: Indices and statistical inference. </w:t>
      </w:r>
      <w:r>
        <w:rPr>
          <w:i/>
          <w:iCs/>
        </w:rPr>
        <w:t>Ecology</w:t>
      </w:r>
      <w:r>
        <w:rPr/>
        <w:t xml:space="preserve">, </w:t>
      </w:r>
      <w:r>
        <w:rPr>
          <w:i/>
          <w:iCs/>
        </w:rPr>
        <w:t>90</w:t>
      </w:r>
      <w:r>
        <w:rPr/>
        <w:t xml:space="preserve">, 3566–3574. </w:t>
      </w:r>
      <w:hyperlink r:id="rId13">
        <w:r>
          <w:rPr>
            <w:rStyle w:val="Hyperlink"/>
          </w:rPr>
          <w:t>https://doi.org/10.1890/08-1823.1</w:t>
        </w:r>
      </w:hyperlink>
      <w:bookmarkEnd w:id="39"/>
    </w:p>
    <w:p>
      <w:pPr>
        <w:pStyle w:val="Bibliography"/>
        <w:rPr/>
      </w:pPr>
      <w:bookmarkStart w:id="40" w:name="ref-demenezes2019"/>
      <w:r>
        <w:rPr/>
        <w:t xml:space="preserve">De Menezes, G. C. A., Amorim, S. S., Gonçalves, V. N., Godinho, V. M., Simões, J. C., Rosa, C. A., &amp; Rosa, L. H. (2019). Diversity, Distribution, and Ecology of Fungi in the Seasonal Snow of Antarctica. </w:t>
      </w:r>
      <w:r>
        <w:rPr>
          <w:i/>
          <w:iCs/>
        </w:rPr>
        <w:t>Microorganisms</w:t>
      </w:r>
      <w:r>
        <w:rPr/>
        <w:t xml:space="preserve">, </w:t>
      </w:r>
      <w:r>
        <w:rPr>
          <w:i/>
          <w:iCs/>
        </w:rPr>
        <w:t>7</w:t>
      </w:r>
      <w:r>
        <w:rPr/>
        <w:t xml:space="preserve">(10), 445. </w:t>
      </w:r>
      <w:hyperlink r:id="rId14">
        <w:r>
          <w:rPr>
            <w:rStyle w:val="Hyperlink"/>
          </w:rPr>
          <w:t>https://doi.org/10.3390/microorganisms7100445</w:t>
        </w:r>
      </w:hyperlink>
      <w:bookmarkEnd w:id="40"/>
    </w:p>
    <w:p>
      <w:pPr>
        <w:pStyle w:val="Bibliography"/>
        <w:rPr/>
      </w:pPr>
      <w:bookmarkStart w:id="41" w:name="ref-edgar2015"/>
      <w:r>
        <w:rPr/>
        <w:t xml:space="preserve">Edgar, R. C., &amp; Flyvbjerg, H. (2015). Error filtering, pair assembly and error correction for next-Generation sequencing reads. </w:t>
      </w:r>
      <w:r>
        <w:rPr>
          <w:i/>
          <w:iCs/>
        </w:rPr>
        <w:t>Bioinformatics (Oxford, England)</w:t>
      </w:r>
      <w:r>
        <w:rPr/>
        <w:t xml:space="preserve">, </w:t>
      </w:r>
      <w:r>
        <w:rPr>
          <w:i/>
          <w:iCs/>
        </w:rPr>
        <w:t>31</w:t>
      </w:r>
      <w:r>
        <w:rPr/>
        <w:t xml:space="preserve">(21), 3476–3482. </w:t>
      </w:r>
      <w:hyperlink r:id="rId15">
        <w:r>
          <w:rPr>
            <w:rStyle w:val="Hyperlink"/>
          </w:rPr>
          <w:t>https://doi.org/10.1093/bioinformatics/btv401</w:t>
        </w:r>
      </w:hyperlink>
      <w:bookmarkEnd w:id="41"/>
    </w:p>
    <w:p>
      <w:pPr>
        <w:pStyle w:val="Bibliography"/>
        <w:rPr/>
      </w:pPr>
      <w:bookmarkStart w:id="42" w:name="ref-ewels2016"/>
      <w:r>
        <w:rPr/>
        <w:t xml:space="preserve">Ewels, P., Magnusson, M., Lundin, S., &amp; Käller, M. (2016). MultiQC: Summarize analysis results for multiple tools and samples in a single report. </w:t>
      </w:r>
      <w:r>
        <w:rPr>
          <w:i/>
          <w:iCs/>
        </w:rPr>
        <w:t>Bioinformatics (Oxford, England)</w:t>
      </w:r>
      <w:r>
        <w:rPr/>
        <w:t xml:space="preserve">, </w:t>
      </w:r>
      <w:r>
        <w:rPr>
          <w:i/>
          <w:iCs/>
        </w:rPr>
        <w:t>32</w:t>
      </w:r>
      <w:r>
        <w:rPr/>
        <w:t xml:space="preserve">(19), 3047–3048. </w:t>
      </w:r>
      <w:hyperlink r:id="rId16">
        <w:r>
          <w:rPr>
            <w:rStyle w:val="Hyperlink"/>
          </w:rPr>
          <w:t>https://doi.org/10.1093/bioinformatics/btw354</w:t>
        </w:r>
      </w:hyperlink>
      <w:bookmarkEnd w:id="42"/>
    </w:p>
    <w:p>
      <w:pPr>
        <w:pStyle w:val="Bibliography"/>
        <w:rPr/>
      </w:pPr>
      <w:bookmarkStart w:id="43" w:name="ref-ferris2017"/>
      <w:r>
        <w:rPr/>
        <w:t xml:space="preserve">Ferris, K. G., Barnett, L. L., Blackman, B. K., &amp; Willis, J. H. (2017). The genetic architecture of local adaptation and reproductive isolation in sympatry within the Mimulus guttatus species complex. </w:t>
      </w:r>
      <w:r>
        <w:rPr>
          <w:i/>
          <w:iCs/>
        </w:rPr>
        <w:t>Molecular Ecology</w:t>
      </w:r>
      <w:r>
        <w:rPr/>
        <w:t xml:space="preserve">, </w:t>
      </w:r>
      <w:r>
        <w:rPr>
          <w:i/>
          <w:iCs/>
        </w:rPr>
        <w:t>26</w:t>
      </w:r>
      <w:r>
        <w:rPr/>
        <w:t xml:space="preserve">(1), 208–224. </w:t>
      </w:r>
      <w:hyperlink r:id="rId17">
        <w:r>
          <w:rPr>
            <w:rStyle w:val="Hyperlink"/>
          </w:rPr>
          <w:t>https://doi.org/10.1111/mec.13763</w:t>
        </w:r>
      </w:hyperlink>
      <w:bookmarkEnd w:id="43"/>
    </w:p>
    <w:p>
      <w:pPr>
        <w:pStyle w:val="Bibliography"/>
        <w:rPr/>
      </w:pPr>
      <w:bookmarkStart w:id="44" w:name="ref-ferris2015"/>
      <w:r>
        <w:rPr/>
        <w:t xml:space="preserve">Ferris, K. G., Rushton, T., Greenlee, A. B., Toll, K., Blackman, B. K., &amp; Willis, J. H. (2015). Leaf shape evolution has a similar genetic architecture in three edaphic specialists within the Mimulus guttatus species complex. </w:t>
      </w:r>
      <w:r>
        <w:rPr>
          <w:i/>
          <w:iCs/>
        </w:rPr>
        <w:t>Annals of Botany</w:t>
      </w:r>
      <w:r>
        <w:rPr/>
        <w:t xml:space="preserve">, </w:t>
      </w:r>
      <w:r>
        <w:rPr>
          <w:i/>
          <w:iCs/>
        </w:rPr>
        <w:t>116</w:t>
      </w:r>
      <w:r>
        <w:rPr/>
        <w:t xml:space="preserve">(2), 213–223. </w:t>
      </w:r>
      <w:hyperlink r:id="rId18">
        <w:r>
          <w:rPr>
            <w:rStyle w:val="Hyperlink"/>
          </w:rPr>
          <w:t>https://doi.org/10.1093/aob/mcv080</w:t>
        </w:r>
      </w:hyperlink>
      <w:bookmarkEnd w:id="44"/>
    </w:p>
    <w:p>
      <w:pPr>
        <w:pStyle w:val="Bibliography"/>
        <w:rPr/>
      </w:pPr>
      <w:bookmarkStart w:id="45" w:name="ref-gardes1993"/>
      <w:r>
        <w:rPr/>
        <w:t xml:space="preserve">Gardes, M., &amp; Bruns, T. D. (1993). ITS primers with enhanced specificity for basidiomycetes ‐ application to the identification of mycorrhizae and rusts. </w:t>
      </w:r>
      <w:r>
        <w:rPr>
          <w:i/>
          <w:iCs/>
        </w:rPr>
        <w:t>Molecular Ecology</w:t>
      </w:r>
      <w:r>
        <w:rPr/>
        <w:t xml:space="preserve">, </w:t>
      </w:r>
      <w:r>
        <w:rPr>
          <w:i/>
          <w:iCs/>
        </w:rPr>
        <w:t>2</w:t>
      </w:r>
      <w:r>
        <w:rPr/>
        <w:t xml:space="preserve">(2), 113–118. </w:t>
      </w:r>
      <w:hyperlink r:id="rId19">
        <w:r>
          <w:rPr>
            <w:rStyle w:val="Hyperlink"/>
          </w:rPr>
          <w:t>https://doi.org/10.1111/j.1365-294X.1993.tb00005.x</w:t>
        </w:r>
      </w:hyperlink>
      <w:bookmarkEnd w:id="45"/>
    </w:p>
    <w:p>
      <w:pPr>
        <w:pStyle w:val="Bibliography"/>
        <w:rPr/>
      </w:pPr>
      <w:bookmarkStart w:id="46" w:name="ref-higgins2014"/>
      <w:r>
        <w:rPr/>
        <w:t xml:space="preserve">Higgins, K. L., Arnold, A. E., Coley, P. D., &amp; Kursar, T. A. (2014). Communities of fungal endophytes in tropical forest grasses: Highly diverse host- and habitat generalists characterized by strong spatial structure. </w:t>
      </w:r>
      <w:r>
        <w:rPr>
          <w:i/>
          <w:iCs/>
        </w:rPr>
        <w:t>Fungal Ecology</w:t>
      </w:r>
      <w:r>
        <w:rPr/>
        <w:t xml:space="preserve">, </w:t>
      </w:r>
      <w:r>
        <w:rPr>
          <w:i/>
          <w:iCs/>
        </w:rPr>
        <w:t>8</w:t>
      </w:r>
      <w:r>
        <w:rPr/>
        <w:t xml:space="preserve">(1), 1–11. </w:t>
      </w:r>
      <w:hyperlink r:id="rId20">
        <w:r>
          <w:rPr>
            <w:rStyle w:val="Hyperlink"/>
          </w:rPr>
          <w:t>https://doi.org/10.1016/j.funeco.2013.12.005</w:t>
        </w:r>
      </w:hyperlink>
      <w:bookmarkEnd w:id="46"/>
    </w:p>
    <w:p>
      <w:pPr>
        <w:pStyle w:val="Bibliography"/>
        <w:rPr/>
      </w:pPr>
      <w:bookmarkStart w:id="47" w:name="ref-hijmans2022"/>
      <w:r>
        <w:rPr/>
        <w:t xml:space="preserve">Hijmans, R. J. (2022). </w:t>
      </w:r>
      <w:r>
        <w:rPr>
          <w:i/>
          <w:iCs/>
        </w:rPr>
        <w:t>Geosphere: Spherical trigonometry</w:t>
      </w:r>
      <w:r>
        <w:rPr/>
        <w:t xml:space="preserve"> (R package version 1.5-18) [Computer software].</w:t>
      </w:r>
      <w:bookmarkEnd w:id="47"/>
    </w:p>
    <w:p>
      <w:pPr>
        <w:pStyle w:val="Bibliography"/>
        <w:rPr/>
      </w:pPr>
      <w:bookmarkStart w:id="48" w:name="ref-horton2014"/>
      <w:r>
        <w:rPr/>
        <w:t xml:space="preserve">Horton, M. W., Bodenhausen, N., Beilsmith, K., Meng, D., Muegge, B. D., Subramanian, S., Vetter, M. M., Vilhjálmsson, B. J., Nordborg, M., Gordon, J. I., &amp; Bergelson, J. (2014). Genome-wide association study of Arabidopsis thaliana leaf microbial community. </w:t>
      </w:r>
      <w:r>
        <w:rPr>
          <w:i/>
          <w:iCs/>
        </w:rPr>
        <w:t>Nature Communications</w:t>
      </w:r>
      <w:r>
        <w:rPr/>
        <w:t xml:space="preserve">, </w:t>
      </w:r>
      <w:r>
        <w:rPr>
          <w:i/>
          <w:iCs/>
        </w:rPr>
        <w:t>5</w:t>
      </w:r>
      <w:r>
        <w:rPr/>
        <w:t xml:space="preserve">, 1–7. </w:t>
      </w:r>
      <w:hyperlink r:id="rId21">
        <w:r>
          <w:rPr>
            <w:rStyle w:val="Hyperlink"/>
          </w:rPr>
          <w:t>https://doi.org/10.1038/ncomms6320</w:t>
        </w:r>
      </w:hyperlink>
      <w:bookmarkEnd w:id="48"/>
    </w:p>
    <w:p>
      <w:pPr>
        <w:pStyle w:val="Bibliography"/>
        <w:rPr/>
      </w:pPr>
      <w:bookmarkStart w:id="49" w:name="ref-opti-sciencesinc"/>
      <w:r>
        <w:rPr/>
        <w:t xml:space="preserve">Inc., O.-S. (n.d.). </w:t>
      </w:r>
      <w:r>
        <w:rPr>
          <w:i/>
          <w:iCs/>
        </w:rPr>
        <w:t>ACM-200plus</w:t>
      </w:r>
      <w:r>
        <w:rPr/>
        <w:t xml:space="preserve">. ACM-200plus. Retrieved November 29, 2023, from </w:t>
      </w:r>
      <w:hyperlink r:id="rId22">
        <w:r>
          <w:rPr>
            <w:rStyle w:val="Hyperlink"/>
          </w:rPr>
          <w:t>https://www.optisci.com/acm-200.html</w:t>
        </w:r>
      </w:hyperlink>
      <w:bookmarkEnd w:id="49"/>
    </w:p>
    <w:p>
      <w:pPr>
        <w:pStyle w:val="Bibliography"/>
        <w:rPr/>
      </w:pPr>
      <w:bookmarkStart w:id="50" w:name="ref-jimenez-hernandez2020"/>
      <w:r>
        <w:rPr/>
        <w:t xml:space="preserve">Jiménez-Hernández, V. S., Villegas-Guzmán, G. A., Casasola-González, J. A., &amp; Vargas-Mendoza, C. F. (2020). Altitudinal distribution of alpha, beta, and gamma diversity of pseudoscorpions (Arachnida) in Oaxaca, Mexico. </w:t>
      </w:r>
      <w:r>
        <w:rPr>
          <w:i/>
          <w:iCs/>
        </w:rPr>
        <w:t>Acta Oecologica</w:t>
      </w:r>
      <w:r>
        <w:rPr/>
        <w:t xml:space="preserve">, </w:t>
      </w:r>
      <w:r>
        <w:rPr>
          <w:i/>
          <w:iCs/>
        </w:rPr>
        <w:t>103</w:t>
      </w:r>
      <w:r>
        <w:rPr/>
        <w:t xml:space="preserve">, 103525. </w:t>
      </w:r>
      <w:hyperlink r:id="rId23">
        <w:r>
          <w:rPr>
            <w:rStyle w:val="Hyperlink"/>
          </w:rPr>
          <w:t>https://doi.org/10.1016/j.actao.2020.103525</w:t>
        </w:r>
      </w:hyperlink>
      <w:bookmarkEnd w:id="50"/>
    </w:p>
    <w:p>
      <w:pPr>
        <w:pStyle w:val="Bibliography"/>
        <w:rPr/>
      </w:pPr>
      <w:bookmarkStart w:id="51" w:name="ref-jump2005"/>
      <w:r>
        <w:rPr/>
        <w:t xml:space="preserve">Jump, A. S., &amp; Peñuelas, J. (2005). Running to stand still: Adaptation and the response of plants to rapid climate change. </w:t>
      </w:r>
      <w:r>
        <w:rPr>
          <w:i/>
          <w:iCs/>
        </w:rPr>
        <w:t>Ecology Letters</w:t>
      </w:r>
      <w:r>
        <w:rPr/>
        <w:t xml:space="preserve">, </w:t>
      </w:r>
      <w:r>
        <w:rPr>
          <w:i/>
          <w:iCs/>
        </w:rPr>
        <w:t>8</w:t>
      </w:r>
      <w:r>
        <w:rPr/>
        <w:t xml:space="preserve">(9), 1010–1020. </w:t>
      </w:r>
      <w:hyperlink r:id="rId24">
        <w:r>
          <w:rPr>
            <w:rStyle w:val="Hyperlink"/>
          </w:rPr>
          <w:t>https://doi.org/10.1111/j.1461-0248.2005.00796.x</w:t>
        </w:r>
      </w:hyperlink>
      <w:bookmarkEnd w:id="51"/>
    </w:p>
    <w:p>
      <w:pPr>
        <w:pStyle w:val="Bibliography"/>
        <w:rPr/>
      </w:pPr>
      <w:bookmarkStart w:id="52" w:name="ref-kassambara2023"/>
      <w:r>
        <w:rPr/>
        <w:t xml:space="preserve">Kassambara, A. (2023). </w:t>
      </w:r>
      <w:r>
        <w:rPr>
          <w:i/>
          <w:iCs/>
        </w:rPr>
        <w:t>Rstatix: Pipe-Friendly Framework for Basic Statistical Tests</w:t>
      </w:r>
      <w:r>
        <w:rPr/>
        <w:t xml:space="preserve"> (R package version 0.7.2) [Computer software]. </w:t>
      </w:r>
      <w:hyperlink r:id="rId25">
        <w:r>
          <w:rPr>
            <w:rStyle w:val="Hyperlink"/>
          </w:rPr>
          <w:t>https://rpkgs.datanovia.com/rstatix/</w:t>
        </w:r>
      </w:hyperlink>
      <w:bookmarkEnd w:id="52"/>
    </w:p>
    <w:p>
      <w:pPr>
        <w:pStyle w:val="Bibliography"/>
        <w:rPr/>
      </w:pPr>
      <w:bookmarkStart w:id="53" w:name="ref-kazenel2019"/>
      <w:r>
        <w:rPr/>
        <w:t xml:space="preserve">Kazenel, M. R., Kivlin, S. N., Taylor, D. L., Lynn, J. S., &amp; Rudgers, J. A. (2019). Altitudinal gradients fail to predict fungal symbiont responses to warming. </w:t>
      </w:r>
      <w:r>
        <w:rPr>
          <w:i/>
          <w:iCs/>
        </w:rPr>
        <w:t>Ecology</w:t>
      </w:r>
      <w:r>
        <w:rPr/>
        <w:t xml:space="preserve">, </w:t>
      </w:r>
      <w:r>
        <w:rPr>
          <w:i/>
          <w:iCs/>
        </w:rPr>
        <w:t>100</w:t>
      </w:r>
      <w:r>
        <w:rPr/>
        <w:t xml:space="preserve">(8). </w:t>
      </w:r>
      <w:hyperlink r:id="rId26">
        <w:r>
          <w:rPr>
            <w:rStyle w:val="Hyperlink"/>
          </w:rPr>
          <w:t>https://doi.org/10.1002/ecy.2740</w:t>
        </w:r>
      </w:hyperlink>
      <w:bookmarkEnd w:id="53"/>
    </w:p>
    <w:p>
      <w:pPr>
        <w:pStyle w:val="Bibliography"/>
        <w:rPr/>
      </w:pPr>
      <w:bookmarkStart w:id="54" w:name="ref-kivlin2022"/>
      <w:r>
        <w:rPr/>
        <w:t xml:space="preserve">Kivlin, S. N., Mann, M. A., Lynn, J. S., Kazenel, M. R., Taylor, D. L., &amp; Rudgers, J. A. (2022). Grass species identity shapes communities of root and leaf fungi more than elevation. </w:t>
      </w:r>
      <w:r>
        <w:rPr>
          <w:i/>
          <w:iCs/>
        </w:rPr>
        <w:t>ISME Communications</w:t>
      </w:r>
      <w:r>
        <w:rPr/>
        <w:t xml:space="preserve">, </w:t>
      </w:r>
      <w:r>
        <w:rPr>
          <w:i/>
          <w:iCs/>
        </w:rPr>
        <w:t>2</w:t>
      </w:r>
      <w:r>
        <w:rPr/>
        <w:t xml:space="preserve">(1), 25. </w:t>
      </w:r>
      <w:hyperlink r:id="rId27">
        <w:r>
          <w:rPr>
            <w:rStyle w:val="Hyperlink"/>
          </w:rPr>
          <w:t>https://doi.org/10.1038/s43705-022-00107-6</w:t>
        </w:r>
      </w:hyperlink>
      <w:bookmarkEnd w:id="54"/>
    </w:p>
    <w:p>
      <w:pPr>
        <w:pStyle w:val="Bibliography"/>
        <w:rPr/>
      </w:pPr>
      <w:bookmarkStart w:id="55" w:name="ref-kraft2011"/>
      <w:r>
        <w:rPr/>
        <w:t xml:space="preserve">Kraft, N. J. B., Comita, L. S., Chase, J. M., Sanders, N. J., Swenson, N. G., Crist, T. O., Stegen, J. C., Vellend, M., Boyle, B., Anderson, M. J., Cornell, H. V., Davies, K. F., Freestone, A. L., Inouye, B. D., Harrison, S. P., &amp; Myers, J. A. (2011). Disentangling the Drivers of β Diversity Along Latitudinal and Elevational Gradients. </w:t>
      </w:r>
      <w:r>
        <w:rPr>
          <w:i/>
          <w:iCs/>
        </w:rPr>
        <w:t>Science</w:t>
      </w:r>
      <w:r>
        <w:rPr/>
        <w:t xml:space="preserve">, </w:t>
      </w:r>
      <w:r>
        <w:rPr>
          <w:i/>
          <w:iCs/>
        </w:rPr>
        <w:t>333</w:t>
      </w:r>
      <w:r>
        <w:rPr/>
        <w:t xml:space="preserve">(6050), 1755–1758. </w:t>
      </w:r>
      <w:hyperlink r:id="rId28">
        <w:r>
          <w:rPr>
            <w:rStyle w:val="Hyperlink"/>
          </w:rPr>
          <w:t>https://doi.org/10.1126/science.1208584</w:t>
        </w:r>
      </w:hyperlink>
      <w:bookmarkEnd w:id="55"/>
    </w:p>
    <w:p>
      <w:pPr>
        <w:pStyle w:val="Bibliography"/>
        <w:rPr/>
      </w:pPr>
      <w:bookmarkStart w:id="56" w:name="ref-legendre1999"/>
      <w:r>
        <w:rPr/>
        <w:t xml:space="preserve">Legendre, P., &amp; Anderson, M. J. (1999). Distance-based redundancy analysis: Testing multispecies responses in multifactorial ecological experiments. </w:t>
      </w:r>
      <w:r>
        <w:rPr>
          <w:i/>
          <w:iCs/>
        </w:rPr>
        <w:t>Ecological Monographs</w:t>
      </w:r>
      <w:r>
        <w:rPr/>
        <w:t xml:space="preserve">, </w:t>
      </w:r>
      <w:r>
        <w:rPr>
          <w:i/>
          <w:iCs/>
        </w:rPr>
        <w:t>69</w:t>
      </w:r>
      <w:r>
        <w:rPr/>
        <w:t xml:space="preserve">(1), 1–24. </w:t>
      </w:r>
      <w:hyperlink r:id="rId29">
        <w:r>
          <w:rPr>
            <w:rStyle w:val="Hyperlink"/>
          </w:rPr>
          <w:t>https://doi.org/10.1890/0012-9615(1999)069[0001:DBRATM]2.0.CO;2</w:t>
        </w:r>
      </w:hyperlink>
      <w:bookmarkEnd w:id="56"/>
    </w:p>
    <w:p>
      <w:pPr>
        <w:pStyle w:val="Bibliography"/>
        <w:rPr/>
      </w:pPr>
      <w:bookmarkStart w:id="57" w:name="ref-legendre2012"/>
      <w:r>
        <w:rPr/>
        <w:t xml:space="preserve">Legendre, P., &amp; Legendre, L. (2012). </w:t>
      </w:r>
      <w:r>
        <w:rPr>
          <w:i/>
          <w:iCs/>
        </w:rPr>
        <w:t>Numerical ecology</w:t>
      </w:r>
      <w:r>
        <w:rPr/>
        <w:t xml:space="preserve"> (3d English edition). Elsevier.</w:t>
      </w:r>
      <w:bookmarkEnd w:id="57"/>
    </w:p>
    <w:p>
      <w:pPr>
        <w:pStyle w:val="Bibliography"/>
        <w:rPr/>
      </w:pPr>
      <w:bookmarkStart w:id="58" w:name="ref-legendre2011"/>
      <w:r>
        <w:rPr/>
        <w:t xml:space="preserve">Legendre, P., Oksanen, J., &amp; Ter Braak, C. J. F. (2011). Testing the significance of canonical axes in redundancy analysis. </w:t>
      </w:r>
      <w:r>
        <w:rPr>
          <w:i/>
          <w:iCs/>
        </w:rPr>
        <w:t>Methods in Ecology and Evolution</w:t>
      </w:r>
      <w:r>
        <w:rPr/>
        <w:t xml:space="preserve">, </w:t>
      </w:r>
      <w:r>
        <w:rPr>
          <w:i/>
          <w:iCs/>
        </w:rPr>
        <w:t>2</w:t>
      </w:r>
      <w:r>
        <w:rPr/>
        <w:t xml:space="preserve">(3), 269–277. </w:t>
      </w:r>
      <w:hyperlink r:id="rId30">
        <w:r>
          <w:rPr>
            <w:rStyle w:val="Hyperlink"/>
          </w:rPr>
          <w:t>https://doi.org/10.1111/j.2041-210X.2010.00078.x</w:t>
        </w:r>
      </w:hyperlink>
      <w:bookmarkEnd w:id="58"/>
    </w:p>
    <w:p>
      <w:pPr>
        <w:pStyle w:val="Bibliography"/>
        <w:rPr/>
      </w:pPr>
      <w:bookmarkStart w:id="59" w:name="ref-liu2023"/>
      <w:r>
        <w:rPr/>
        <w:t xml:space="preserve">Liu, D., Li, Q., Luo, J., Huang, Q., &amp; Zhang, Y. (2023). An SPRI beads-based DNA purification strategy for flexibility and cost-effectiveness. </w:t>
      </w:r>
      <w:r>
        <w:rPr>
          <w:i/>
          <w:iCs/>
        </w:rPr>
        <w:t>BMC Genomics</w:t>
      </w:r>
      <w:r>
        <w:rPr/>
        <w:t xml:space="preserve">, </w:t>
      </w:r>
      <w:r>
        <w:rPr>
          <w:i/>
          <w:iCs/>
        </w:rPr>
        <w:t>24</w:t>
      </w:r>
      <w:r>
        <w:rPr/>
        <w:t xml:space="preserve">(1), 125. </w:t>
      </w:r>
      <w:hyperlink r:id="rId31">
        <w:r>
          <w:rPr>
            <w:rStyle w:val="Hyperlink"/>
          </w:rPr>
          <w:t>https://doi.org/10.1186/s12864-023-09211-w</w:t>
        </w:r>
      </w:hyperlink>
      <w:bookmarkEnd w:id="59"/>
    </w:p>
    <w:p>
      <w:pPr>
        <w:pStyle w:val="Bibliography"/>
        <w:rPr/>
      </w:pPr>
      <w:bookmarkStart w:id="60" w:name="ref-lutz2020"/>
      <w:r>
        <w:rPr/>
        <w:t xml:space="preserve">Lutz, M. C., Lopes, C. A., Sosa, M. C., &amp; Sangorrín, M. P. (2020). Semi-commercial testing of regional yeasts selected from North Patagonia Argentina for the biocontrol of pear postharvest decays. </w:t>
      </w:r>
      <w:r>
        <w:rPr>
          <w:i/>
          <w:iCs/>
        </w:rPr>
        <w:t>Biological Control</w:t>
      </w:r>
      <w:r>
        <w:rPr/>
        <w:t xml:space="preserve">, </w:t>
      </w:r>
      <w:r>
        <w:rPr>
          <w:i/>
          <w:iCs/>
        </w:rPr>
        <w:t>150</w:t>
      </w:r>
      <w:r>
        <w:rPr/>
        <w:t xml:space="preserve">, 104246. </w:t>
      </w:r>
      <w:hyperlink r:id="rId32">
        <w:r>
          <w:rPr>
            <w:rStyle w:val="Hyperlink"/>
          </w:rPr>
          <w:t>https://doi.org/10.1016/j.biocontrol.2020.104246</w:t>
        </w:r>
      </w:hyperlink>
      <w:bookmarkEnd w:id="60"/>
    </w:p>
    <w:p>
      <w:pPr>
        <w:pStyle w:val="Bibliography"/>
        <w:rPr/>
      </w:pPr>
      <w:bookmarkStart w:id="61" w:name="ref-marian2022"/>
      <w:r>
        <w:rPr/>
        <w:t xml:space="preserve">Marian, M., Licciardello, G., Vicelli, B., Pertot, I., &amp; Perazzolli, M. (2022). Ecology and potential functions of plant-associated microbial communities in cold environments. </w:t>
      </w:r>
      <w:r>
        <w:rPr>
          <w:i/>
          <w:iCs/>
        </w:rPr>
        <w:t>FEMS Microbiology Ecology</w:t>
      </w:r>
      <w:r>
        <w:rPr/>
        <w:t xml:space="preserve">, </w:t>
      </w:r>
      <w:r>
        <w:rPr>
          <w:i/>
          <w:iCs/>
        </w:rPr>
        <w:t>98</w:t>
      </w:r>
      <w:r>
        <w:rPr/>
        <w:t xml:space="preserve">(1), fiab161. </w:t>
      </w:r>
      <w:hyperlink r:id="rId33">
        <w:r>
          <w:rPr>
            <w:rStyle w:val="Hyperlink"/>
          </w:rPr>
          <w:t>https://doi.org/10.1093/femsec/fiab161</w:t>
        </w:r>
      </w:hyperlink>
      <w:bookmarkEnd w:id="61"/>
    </w:p>
    <w:p>
      <w:pPr>
        <w:pStyle w:val="Bibliography"/>
        <w:rPr/>
      </w:pPr>
      <w:bookmarkStart w:id="62" w:name="ref-martin2011"/>
      <w:r>
        <w:rPr/>
        <w:t xml:space="preserve">Martin, M. (2011). Cutadapt removes adapter sequences from high-throughput sequencing reads. </w:t>
      </w:r>
      <w:r>
        <w:rPr>
          <w:i/>
          <w:iCs/>
        </w:rPr>
        <w:t>EMBnet.journal</w:t>
      </w:r>
      <w:r>
        <w:rPr/>
        <w:t xml:space="preserve">, </w:t>
      </w:r>
      <w:r>
        <w:rPr>
          <w:i/>
          <w:iCs/>
        </w:rPr>
        <w:t>17</w:t>
      </w:r>
      <w:r>
        <w:rPr/>
        <w:t xml:space="preserve">(1), 10. </w:t>
      </w:r>
      <w:hyperlink r:id="rId34">
        <w:r>
          <w:rPr>
            <w:rStyle w:val="Hyperlink"/>
          </w:rPr>
          <w:t>https://doi.org/10.14806/ej.17.1.200</w:t>
        </w:r>
      </w:hyperlink>
      <w:bookmarkEnd w:id="62"/>
    </w:p>
    <w:p>
      <w:pPr>
        <w:pStyle w:val="Bibliography"/>
        <w:rPr/>
      </w:pPr>
      <w:bookmarkStart w:id="63" w:name="ref-mcardle2001"/>
      <w:r>
        <w:rPr/>
        <w:t xml:space="preserve">McArdle, B. H., &amp; Anderson, M. J. (2001). FITTING MULTIVARIATE MODELS TO COMMUNITY DATA: A COMMENT ON DISTANCE-BASED REDUNDANCY ANALYSIS. </w:t>
      </w:r>
      <w:r>
        <w:rPr>
          <w:i/>
          <w:iCs/>
        </w:rPr>
        <w:t>Ecology</w:t>
      </w:r>
      <w:r>
        <w:rPr/>
        <w:t xml:space="preserve">, </w:t>
      </w:r>
      <w:r>
        <w:rPr>
          <w:i/>
          <w:iCs/>
        </w:rPr>
        <w:t>82</w:t>
      </w:r>
      <w:r>
        <w:rPr/>
        <w:t xml:space="preserve">(1), 290–297. </w:t>
      </w:r>
      <w:hyperlink r:id="rId35">
        <w:r>
          <w:rPr>
            <w:rStyle w:val="Hyperlink"/>
          </w:rPr>
          <w:t>https://doi.org/10.1890/0012-9658(2001)082[0290:FMMTCD]2.0.CO;2</w:t>
        </w:r>
      </w:hyperlink>
      <w:bookmarkEnd w:id="63"/>
    </w:p>
    <w:p>
      <w:pPr>
        <w:pStyle w:val="Bibliography"/>
        <w:rPr/>
      </w:pPr>
      <w:bookmarkStart w:id="64" w:name="ref-mcmurdie2013"/>
      <w:r>
        <w:rPr/>
        <w:t xml:space="preserve">McMurdie, P. J., &amp; Holmes, S. (2013). Phyloseq: An R Package for Reproducible Interactive Analysis and Graphics of Microbiome Census Data. </w:t>
      </w:r>
      <w:r>
        <w:rPr>
          <w:i/>
          <w:iCs/>
        </w:rPr>
        <w:t>PLoS ONE</w:t>
      </w:r>
      <w:r>
        <w:rPr/>
        <w:t xml:space="preserve">, </w:t>
      </w:r>
      <w:r>
        <w:rPr>
          <w:i/>
          <w:iCs/>
        </w:rPr>
        <w:t>8</w:t>
      </w:r>
      <w:r>
        <w:rPr/>
        <w:t xml:space="preserve">(4), e61217. </w:t>
      </w:r>
      <w:hyperlink r:id="rId36">
        <w:r>
          <w:rPr>
            <w:rStyle w:val="Hyperlink"/>
          </w:rPr>
          <w:t>https://doi.org/10.1371/journal.pone.0061217</w:t>
        </w:r>
      </w:hyperlink>
      <w:bookmarkEnd w:id="64"/>
    </w:p>
    <w:p>
      <w:pPr>
        <w:pStyle w:val="Bibliography"/>
        <w:rPr/>
      </w:pPr>
      <w:bookmarkStart w:id="65" w:name="ref-montes1999"/>
      <w:r>
        <w:rPr/>
        <w:t xml:space="preserve">Montes, M. J., Belloch, C., Galiana, M., Garcia, M. D., Andrés, C., Ferrer, S., Torres-Rodriguez, J. M., &amp; Guinea, J. (1999). Polyphasic Taxonomy of a Novel Yeast Isolated from Antarctic Environment; Description of Cryptococcus victoriae sp. nov. </w:t>
      </w:r>
      <w:r>
        <w:rPr>
          <w:i/>
          <w:iCs/>
        </w:rPr>
        <w:t>Systematic and Applied Microbiology</w:t>
      </w:r>
      <w:r>
        <w:rPr/>
        <w:t xml:space="preserve">, </w:t>
      </w:r>
      <w:r>
        <w:rPr>
          <w:i/>
          <w:iCs/>
        </w:rPr>
        <w:t>22</w:t>
      </w:r>
      <w:r>
        <w:rPr/>
        <w:t xml:space="preserve">(1), 97–105. </w:t>
      </w:r>
      <w:hyperlink r:id="rId37">
        <w:r>
          <w:rPr>
            <w:rStyle w:val="Hyperlink"/>
          </w:rPr>
          <w:t>https://doi.org/10.1016/S0723-2020(99)80032-0</w:t>
        </w:r>
      </w:hyperlink>
      <w:bookmarkEnd w:id="65"/>
    </w:p>
    <w:p>
      <w:pPr>
        <w:pStyle w:val="Bibliography"/>
        <w:rPr/>
      </w:pPr>
      <w:bookmarkStart w:id="66" w:name="ref-ogaki2020"/>
      <w:r>
        <w:rPr/>
        <w:t xml:space="preserve">Ogaki, M. B., Teixeira, D. R., Vieira, R., Lírio, J. M., Felizardo, J. P. S., Abuchacra, R. C., Cardoso, R. P., Zani, C. L., Alves, T. M. A., Junior, P. A. S., Murta, S. M. F., Barbosa, E. C., Oliveira, J. G., Ceravolo, I. P., Pereira, P. O., Rosa, C. A., &amp; Rosa, L. H. (2020). Diversity and bioprospecting of cultivable fungal assemblages in sediments of lakes in the Antarctic Peninsula. </w:t>
      </w:r>
      <w:r>
        <w:rPr>
          <w:i/>
          <w:iCs/>
        </w:rPr>
        <w:t>Fungal Biology</w:t>
      </w:r>
      <w:r>
        <w:rPr/>
        <w:t xml:space="preserve">, </w:t>
      </w:r>
      <w:r>
        <w:rPr>
          <w:i/>
          <w:iCs/>
        </w:rPr>
        <w:t>124</w:t>
      </w:r>
      <w:r>
        <w:rPr/>
        <w:t xml:space="preserve">(6), 601–611. </w:t>
      </w:r>
      <w:hyperlink r:id="rId38">
        <w:r>
          <w:rPr>
            <w:rStyle w:val="Hyperlink"/>
          </w:rPr>
          <w:t>https://doi.org/10.1016/j.funbio.2020.02.015</w:t>
        </w:r>
      </w:hyperlink>
      <w:bookmarkEnd w:id="66"/>
    </w:p>
    <w:p>
      <w:pPr>
        <w:pStyle w:val="Bibliography"/>
        <w:rPr/>
      </w:pPr>
      <w:bookmarkStart w:id="67" w:name="ref-oita2021"/>
      <w:r>
        <w:rPr/>
        <w:t xml:space="preserve">Oita, S., Ibáñez, A., Lutzoni, F., Miadlikowska, J., Geml, J., Lewis, L. A., Hom, E. F. Y., Carbone, I., U’Ren, J. M., &amp; Arnold, A. E. (2021). Climate and seasonality drive the richness and composition of tropical fungal endophytes at a landscape scale. </w:t>
      </w:r>
      <w:r>
        <w:rPr>
          <w:i/>
          <w:iCs/>
        </w:rPr>
        <w:t>Communications Biology</w:t>
      </w:r>
      <w:r>
        <w:rPr/>
        <w:t xml:space="preserve">, </w:t>
      </w:r>
      <w:r>
        <w:rPr>
          <w:i/>
          <w:iCs/>
        </w:rPr>
        <w:t>4</w:t>
      </w:r>
      <w:r>
        <w:rPr/>
        <w:t xml:space="preserve">(1), 313. </w:t>
      </w:r>
      <w:hyperlink r:id="rId39">
        <w:r>
          <w:rPr>
            <w:rStyle w:val="Hyperlink"/>
          </w:rPr>
          <w:t>https://doi.org/10.1038/s42003-021-01826-7</w:t>
        </w:r>
      </w:hyperlink>
      <w:bookmarkEnd w:id="67"/>
    </w:p>
    <w:p>
      <w:pPr>
        <w:pStyle w:val="Bibliography"/>
        <w:rPr/>
      </w:pPr>
      <w:bookmarkStart w:id="68" w:name="ref-oksanen2022"/>
      <w:r>
        <w:rPr/>
        <w:t xml:space="preserve">Oksanen, J., Simpson, G. L., Blanchet, F. G., Kindt, R., Legendre, P., Minchin, P. R., O’Hara, R. B., Solymos, P., Stevens, M. H. H., Szoecs, E., Wagner, H., Barbour, M., Bedward, M., Bolker, B., Borcard, D., Carvalho, G., Chirico, M., De Caceres, M., Durand, S., … Weedon, J. (2022). </w:t>
      </w:r>
      <w:r>
        <w:rPr>
          <w:i/>
          <w:iCs/>
        </w:rPr>
        <w:t>Vegan: Community Ecology Package</w:t>
      </w:r>
      <w:r>
        <w:rPr/>
        <w:t xml:space="preserve">. </w:t>
      </w:r>
      <w:hyperlink r:id="rId40">
        <w:r>
          <w:rPr>
            <w:rStyle w:val="Hyperlink"/>
          </w:rPr>
          <w:t>https://github.com/vegandevs/vegan</w:t>
        </w:r>
      </w:hyperlink>
      <w:bookmarkEnd w:id="68"/>
    </w:p>
    <w:p>
      <w:pPr>
        <w:pStyle w:val="Bibliography"/>
        <w:rPr/>
      </w:pPr>
      <w:bookmarkStart w:id="69" w:name="ref-rcoreteam2023"/>
      <w:r>
        <w:rPr/>
        <w:t xml:space="preserve">R Core Team. (2023). </w:t>
      </w:r>
      <w:r>
        <w:rPr>
          <w:i/>
          <w:iCs/>
        </w:rPr>
        <w:t>R: A Language and Environment for Statistical Computing</w:t>
      </w:r>
      <w:r>
        <w:rPr/>
        <w:t xml:space="preserve"> [Computer software]. R Foundation for Statistical Computing. </w:t>
      </w:r>
      <w:hyperlink r:id="rId41">
        <w:r>
          <w:rPr>
            <w:rStyle w:val="Hyperlink"/>
          </w:rPr>
          <w:t>https://www.R-project.org/</w:t>
        </w:r>
      </w:hyperlink>
      <w:bookmarkEnd w:id="69"/>
    </w:p>
    <w:p>
      <w:pPr>
        <w:pStyle w:val="Bibliography"/>
        <w:rPr/>
      </w:pPr>
      <w:bookmarkStart w:id="70" w:name="ref-rohland2012"/>
      <w:r>
        <w:rPr/>
        <w:t xml:space="preserve">Rohland, N., &amp; Reich, D. (2012). Cost-effective, high-throughput DNA sequencing libraries for multiplexed target capture. </w:t>
      </w:r>
      <w:r>
        <w:rPr>
          <w:i/>
          <w:iCs/>
        </w:rPr>
        <w:t>Genome Research</w:t>
      </w:r>
      <w:r>
        <w:rPr/>
        <w:t xml:space="preserve">, </w:t>
      </w:r>
      <w:r>
        <w:rPr>
          <w:i/>
          <w:iCs/>
        </w:rPr>
        <w:t>22</w:t>
      </w:r>
      <w:r>
        <w:rPr/>
        <w:t xml:space="preserve">(5), 939–946. </w:t>
      </w:r>
      <w:hyperlink r:id="rId42">
        <w:r>
          <w:rPr>
            <w:rStyle w:val="Hyperlink"/>
          </w:rPr>
          <w:t>https://doi.org/10.1101/gr.128124.111</w:t>
        </w:r>
      </w:hyperlink>
      <w:bookmarkEnd w:id="70"/>
    </w:p>
    <w:p>
      <w:pPr>
        <w:pStyle w:val="Bibliography"/>
        <w:rPr/>
      </w:pPr>
      <w:bookmarkStart w:id="71" w:name="ref-rosen2012"/>
      <w:r>
        <w:rPr/>
        <w:t xml:space="preserve">Rosen, M. J., Callahan, B. J., Fisher, D. S., &amp; Holmes, S. P. (2012). Denoising PCR-amplified metagenome data. </w:t>
      </w:r>
      <w:r>
        <w:rPr>
          <w:i/>
          <w:iCs/>
        </w:rPr>
        <w:t>BMC Bioinformatics</w:t>
      </w:r>
      <w:r>
        <w:rPr/>
        <w:t xml:space="preserve">, </w:t>
      </w:r>
      <w:r>
        <w:rPr>
          <w:i/>
          <w:iCs/>
        </w:rPr>
        <w:t>13</w:t>
      </w:r>
      <w:r>
        <w:rPr/>
        <w:t xml:space="preserve">(1), 283. </w:t>
      </w:r>
      <w:hyperlink r:id="rId43">
        <w:r>
          <w:rPr>
            <w:rStyle w:val="Hyperlink"/>
          </w:rPr>
          <w:t>https://doi.org/10.1186/1471-2105-13-283</w:t>
        </w:r>
      </w:hyperlink>
      <w:bookmarkEnd w:id="71"/>
    </w:p>
    <w:p>
      <w:pPr>
        <w:pStyle w:val="Bibliography"/>
        <w:rPr/>
      </w:pPr>
      <w:bookmarkStart w:id="72" w:name="ref-rush2023"/>
      <w:r>
        <w:rPr/>
        <w:t xml:space="preserve">Rush, R. E., Blackwood, C. B., Lemons, A. R., Dannemiller, K. C., Green, B. J., &amp; Croston, T. L. (2023). Persisting Cryptococcus yeast species Vishniacozyma victoriae and Cryptococcus neoformans elicit unique airway inflammation in mice following repeated exposure. </w:t>
      </w:r>
      <w:r>
        <w:rPr>
          <w:i/>
          <w:iCs/>
        </w:rPr>
        <w:t>Frontiers in Cellular and Infection Microbiology</w:t>
      </w:r>
      <w:r>
        <w:rPr/>
        <w:t xml:space="preserve">, </w:t>
      </w:r>
      <w:r>
        <w:rPr>
          <w:i/>
          <w:iCs/>
        </w:rPr>
        <w:t>13</w:t>
      </w:r>
      <w:r>
        <w:rPr/>
        <w:t xml:space="preserve">, 1067475. </w:t>
      </w:r>
      <w:hyperlink r:id="rId44">
        <w:r>
          <w:rPr>
            <w:rStyle w:val="Hyperlink"/>
          </w:rPr>
          <w:t>https://doi.org/10.3389/fcimb.2023.1067475</w:t>
        </w:r>
      </w:hyperlink>
      <w:bookmarkEnd w:id="72"/>
    </w:p>
    <w:p>
      <w:pPr>
        <w:pStyle w:val="Bibliography"/>
        <w:rPr/>
      </w:pPr>
      <w:bookmarkStart w:id="73" w:name="ref-russo2022"/>
      <w:r>
        <w:rPr/>
        <w:t xml:space="preserve">Russo, A., Mayjonade, B., Frei, D., Potente, G., Kellenberger, R. T., Frachon, L., Copetti, D., Studer, B., Frey, J. E., Grossniklaus, U., &amp; Schlüter, P. M. (2022). Low-Input High-Molecular-Weight DNA Extraction for Long-Read Sequencing From Plants of Diverse Families. </w:t>
      </w:r>
      <w:r>
        <w:rPr>
          <w:i/>
          <w:iCs/>
        </w:rPr>
        <w:t>Frontiers in Plant Science</w:t>
      </w:r>
      <w:r>
        <w:rPr/>
        <w:t xml:space="preserve">, </w:t>
      </w:r>
      <w:r>
        <w:rPr>
          <w:i/>
          <w:iCs/>
        </w:rPr>
        <w:t>13</w:t>
      </w:r>
      <w:r>
        <w:rPr/>
        <w:t xml:space="preserve">, 883897. </w:t>
      </w:r>
      <w:hyperlink r:id="rId45">
        <w:r>
          <w:rPr>
            <w:rStyle w:val="Hyperlink"/>
          </w:rPr>
          <w:t>https://doi.org/10.3389/fpls.2022.883897</w:t>
        </w:r>
      </w:hyperlink>
      <w:bookmarkEnd w:id="73"/>
    </w:p>
    <w:p>
      <w:pPr>
        <w:pStyle w:val="Bibliography"/>
        <w:rPr/>
      </w:pPr>
      <w:bookmarkStart w:id="74" w:name="ref-sabatini2018"/>
      <w:r>
        <w:rPr/>
        <w:t xml:space="preserve">Sabatini, F. M., Jiménez‐Alfaro, B., Burrascano, S., Lora, A., &amp; Chytrý, M. (2018). Beta‐diversity of central European forests decreases along an elevational gradient due to the variation in local community assembly processes. </w:t>
      </w:r>
      <w:r>
        <w:rPr>
          <w:i/>
          <w:iCs/>
        </w:rPr>
        <w:t>Ecography</w:t>
      </w:r>
      <w:r>
        <w:rPr/>
        <w:t xml:space="preserve">, </w:t>
      </w:r>
      <w:r>
        <w:rPr>
          <w:i/>
          <w:iCs/>
        </w:rPr>
        <w:t>41</w:t>
      </w:r>
      <w:r>
        <w:rPr/>
        <w:t xml:space="preserve">(6), 1038–1048. </w:t>
      </w:r>
      <w:hyperlink r:id="rId46">
        <w:r>
          <w:rPr>
            <w:rStyle w:val="Hyperlink"/>
          </w:rPr>
          <w:t>https://doi.org/10.1111/ecog.02809</w:t>
        </w:r>
      </w:hyperlink>
      <w:bookmarkEnd w:id="74"/>
    </w:p>
    <w:p>
      <w:pPr>
        <w:pStyle w:val="Bibliography"/>
        <w:rPr/>
      </w:pPr>
      <w:bookmarkStart w:id="75" w:name="ref-samson2004"/>
      <w:r>
        <w:rPr/>
        <w:t xml:space="preserve">Samson, R. A., Hoekstra, E. S., &amp; Frisvad, J. C. (2004). </w:t>
      </w:r>
      <w:r>
        <w:rPr>
          <w:i/>
          <w:iCs/>
        </w:rPr>
        <w:t>Introduction to food- and airborne fungi</w:t>
      </w:r>
      <w:r>
        <w:rPr/>
        <w:t xml:space="preserve"> (7th ed.). Centraalbureau voor Schimmelcultures.</w:t>
      </w:r>
      <w:bookmarkEnd w:id="75"/>
    </w:p>
    <w:p>
      <w:pPr>
        <w:pStyle w:val="Bibliography"/>
        <w:rPr/>
      </w:pPr>
      <w:bookmarkStart w:id="76" w:name="ref-sarmiento2017"/>
      <w:r>
        <w:rPr/>
        <w:t xml:space="preserve">Sarmiento, C., Zalamea, P. C., Dalling, J. W., Davis, A. S., Simon, S. M., U’Ren, J. M., &amp; Arnold, A. E. (2017). Soilborne fungi have host affinity and host-specific effects on seed germination and survival in a lowland tropical forest. </w:t>
      </w:r>
      <w:r>
        <w:rPr>
          <w:i/>
          <w:iCs/>
        </w:rPr>
        <w:t>Proceedings of the National Academy of Sciences of the United States of America</w:t>
      </w:r>
      <w:r>
        <w:rPr/>
        <w:t xml:space="preserve">, </w:t>
      </w:r>
      <w:r>
        <w:rPr>
          <w:i/>
          <w:iCs/>
        </w:rPr>
        <w:t>114</w:t>
      </w:r>
      <w:r>
        <w:rPr/>
        <w:t xml:space="preserve">(43), 11458–11463. </w:t>
      </w:r>
      <w:hyperlink r:id="rId47">
        <w:r>
          <w:rPr>
            <w:rStyle w:val="Hyperlink"/>
          </w:rPr>
          <w:t>https://doi.org/10.1073/pnas.1706324114</w:t>
        </w:r>
      </w:hyperlink>
      <w:bookmarkEnd w:id="76"/>
    </w:p>
    <w:p>
      <w:pPr>
        <w:pStyle w:val="Bibliography"/>
        <w:rPr/>
      </w:pPr>
      <w:bookmarkStart w:id="77" w:name="ref-schloss2024"/>
      <w:r>
        <w:rPr/>
        <w:t xml:space="preserve">Schloss, P. D. (2024). Rarefaction is currently the best approach to control for uneven sequencing effort in amplicon sequence analyses. </w:t>
      </w:r>
      <w:r>
        <w:rPr>
          <w:i/>
          <w:iCs/>
        </w:rPr>
        <w:t>mSphere</w:t>
      </w:r>
      <w:r>
        <w:rPr/>
        <w:t xml:space="preserve">, </w:t>
      </w:r>
      <w:r>
        <w:rPr>
          <w:i/>
          <w:iCs/>
        </w:rPr>
        <w:t>9</w:t>
      </w:r>
      <w:r>
        <w:rPr/>
        <w:t xml:space="preserve">(2), e00354–23. </w:t>
      </w:r>
      <w:hyperlink r:id="rId48">
        <w:r>
          <w:rPr>
            <w:rStyle w:val="Hyperlink"/>
          </w:rPr>
          <w:t>https://doi.org/10.1128/msphere.00354-23</w:t>
        </w:r>
      </w:hyperlink>
      <w:bookmarkEnd w:id="77"/>
    </w:p>
    <w:p>
      <w:pPr>
        <w:pStyle w:val="Bibliography"/>
        <w:rPr/>
      </w:pPr>
      <w:bookmarkStart w:id="78" w:name="ref-schneider2012"/>
      <w:r>
        <w:rPr/>
        <w:t xml:space="preserve">Schneider, C. A., Rasband, W. S., &amp; Eliceiri, K. W. (2012). NIH Image to ImageJ: 25 years of image analysis. </w:t>
      </w:r>
      <w:r>
        <w:rPr>
          <w:i/>
          <w:iCs/>
        </w:rPr>
        <w:t>Nature Methods</w:t>
      </w:r>
      <w:r>
        <w:rPr/>
        <w:t xml:space="preserve">, </w:t>
      </w:r>
      <w:r>
        <w:rPr>
          <w:i/>
          <w:iCs/>
        </w:rPr>
        <w:t>9</w:t>
      </w:r>
      <w:r>
        <w:rPr/>
        <w:t xml:space="preserve">(7), 671–675. </w:t>
      </w:r>
      <w:hyperlink r:id="rId49">
        <w:r>
          <w:rPr>
            <w:rStyle w:val="Hyperlink"/>
          </w:rPr>
          <w:t>https://doi.org/10.1038/nmeth.2089</w:t>
        </w:r>
      </w:hyperlink>
      <w:bookmarkEnd w:id="78"/>
    </w:p>
    <w:p>
      <w:pPr>
        <w:pStyle w:val="Bibliography"/>
        <w:rPr/>
      </w:pPr>
      <w:bookmarkStart w:id="79" w:name="ref-schubert2007"/>
      <w:r>
        <w:rPr/>
        <w:t xml:space="preserve">Schubert, K., Groenewald, J. Z., Braun, U., Dijksterhuis, J., Starink, M., Hill, C. F., Zalar, P., De Hoog, G. S., &amp; Crous, P. W. (2007). Biodiversity in the Cladosporium herbarum complex (Davidiellaceae, Capnodiales), with standardisation of methods for Cladosporium taxonomy and diagnostics. </w:t>
      </w:r>
      <w:r>
        <w:rPr>
          <w:i/>
          <w:iCs/>
        </w:rPr>
        <w:t>Studies in Mycology</w:t>
      </w:r>
      <w:r>
        <w:rPr/>
        <w:t xml:space="preserve">, </w:t>
      </w:r>
      <w:r>
        <w:rPr>
          <w:i/>
          <w:iCs/>
        </w:rPr>
        <w:t>58</w:t>
      </w:r>
      <w:r>
        <w:rPr/>
        <w:t xml:space="preserve">, 105–156. </w:t>
      </w:r>
      <w:hyperlink r:id="rId50">
        <w:r>
          <w:rPr>
            <w:rStyle w:val="Hyperlink"/>
          </w:rPr>
          <w:t>https://doi.org/10.3114/sim.2007.58.05</w:t>
        </w:r>
      </w:hyperlink>
      <w:bookmarkEnd w:id="79"/>
    </w:p>
    <w:p>
      <w:pPr>
        <w:pStyle w:val="Bibliography"/>
        <w:rPr/>
      </w:pPr>
      <w:bookmarkStart w:id="80" w:name="ref-society2019"/>
      <w:r>
        <w:rPr/>
        <w:t xml:space="preserve">Society, C. N. P. (2019). </w:t>
      </w:r>
      <w:r>
        <w:rPr>
          <w:i/>
          <w:iCs/>
        </w:rPr>
        <w:t>Seep Monkey Flower</w:t>
      </w:r>
      <w:r>
        <w:rPr/>
        <w:t xml:space="preserve">. </w:t>
      </w:r>
      <w:hyperlink r:id="rId51">
        <w:r>
          <w:rPr>
            <w:rStyle w:val="Hyperlink"/>
          </w:rPr>
          <w:t>https://calscape.org/Mimulus-guttatus-(Seep-Monkey-Flower)</w:t>
        </w:r>
      </w:hyperlink>
      <w:bookmarkEnd w:id="80"/>
    </w:p>
    <w:p>
      <w:pPr>
        <w:pStyle w:val="Bibliography"/>
        <w:rPr/>
      </w:pPr>
      <w:bookmarkStart w:id="81" w:name="ref-song2016"/>
      <w:r>
        <w:rPr/>
        <w:t xml:space="preserve">Song, H., Nan, Z., Song, Q., Xia, C., Li, X., Yao, X., Xu, W., Kuang, Y., Tian, P., &amp; Zhang, Q. (2016). Advances in Research on Epichloë endophytes in Chinese Native Grasses. </w:t>
      </w:r>
      <w:r>
        <w:rPr>
          <w:i/>
          <w:iCs/>
        </w:rPr>
        <w:t>Frontiers in Microbiology</w:t>
      </w:r>
      <w:r>
        <w:rPr/>
        <w:t xml:space="preserve">, </w:t>
      </w:r>
      <w:r>
        <w:rPr>
          <w:i/>
          <w:iCs/>
        </w:rPr>
        <w:t>7</w:t>
      </w:r>
      <w:r>
        <w:rPr/>
        <w:t xml:space="preserve">, 1399–1399. </w:t>
      </w:r>
      <w:hyperlink r:id="rId52">
        <w:r>
          <w:rPr>
            <w:rStyle w:val="Hyperlink"/>
          </w:rPr>
          <w:t>https://doi.org/10.3389/fmicb.2016.01399</w:t>
        </w:r>
      </w:hyperlink>
      <w:bookmarkEnd w:id="81"/>
    </w:p>
    <w:p>
      <w:pPr>
        <w:pStyle w:val="Bibliography"/>
        <w:rPr/>
      </w:pPr>
      <w:bookmarkStart w:id="82" w:name="ref-tellezTraits2022"/>
      <w:r>
        <w:rPr/>
        <w:t xml:space="preserve">Tellez, P. H., Arnold, A. E., Leo, A. B., Kitajima, K., &amp; Van Bael, S. A. (2022). Traits along the leaf economics spectrum are associated with communities of foliar endophytic symbionts. </w:t>
      </w:r>
      <w:r>
        <w:rPr>
          <w:i/>
          <w:iCs/>
        </w:rPr>
        <w:t>Frontiers in Microbiology</w:t>
      </w:r>
      <w:r>
        <w:rPr/>
        <w:t xml:space="preserve">, </w:t>
      </w:r>
      <w:r>
        <w:rPr>
          <w:i/>
          <w:iCs/>
        </w:rPr>
        <w:t>13</w:t>
      </w:r>
      <w:r>
        <w:rPr/>
        <w:t xml:space="preserve">, 927780. </w:t>
      </w:r>
      <w:hyperlink r:id="rId53">
        <w:r>
          <w:rPr>
            <w:rStyle w:val="Hyperlink"/>
          </w:rPr>
          <w:t>https://doi.org/lutzoni</w:t>
        </w:r>
      </w:hyperlink>
      <w:bookmarkEnd w:id="82"/>
    </w:p>
    <w:p>
      <w:pPr>
        <w:pStyle w:val="Bibliography"/>
        <w:rPr/>
      </w:pPr>
      <w:bookmarkStart w:id="83" w:name="ref-uren2017"/>
      <w:r>
        <w:rPr/>
        <w:t xml:space="preserve">U’Ren, J. M., &amp; Arnold, A. E. (2017). 96 well DNA Extraction Protocol for Plant and Lichen Tissue Stored in CTAB. </w:t>
      </w:r>
      <w:r>
        <w:rPr>
          <w:i/>
          <w:iCs/>
        </w:rPr>
        <w:t>Protocols.io</w:t>
      </w:r>
      <w:r>
        <w:rPr/>
        <w:t xml:space="preserve">, 1–5. </w:t>
      </w:r>
      <w:hyperlink r:id="rId54">
        <w:r>
          <w:rPr>
            <w:rStyle w:val="Hyperlink"/>
          </w:rPr>
          <w:t>https://doi.org/dx.doi.org/10.17504/protocols.io.fscbnaw</w:t>
        </w:r>
      </w:hyperlink>
      <w:bookmarkEnd w:id="83"/>
    </w:p>
    <w:p>
      <w:pPr>
        <w:pStyle w:val="Bibliography"/>
        <w:rPr/>
      </w:pPr>
      <w:bookmarkStart w:id="84" w:name="ref-villacampa2019"/>
      <w:r>
        <w:rPr/>
        <w:t xml:space="preserve">Villacampa, J., Whitworth, A., Allen, L., &amp; Malo, J. E. (2019). Altitudinal differences in alpha, beta and functional diversity of an amphibian community in a biodiversity hotspot. </w:t>
      </w:r>
      <w:r>
        <w:rPr>
          <w:i/>
          <w:iCs/>
        </w:rPr>
        <w:t>Neotropical Biodiversity</w:t>
      </w:r>
      <w:r>
        <w:rPr/>
        <w:t xml:space="preserve">, </w:t>
      </w:r>
      <w:r>
        <w:rPr>
          <w:i/>
          <w:iCs/>
        </w:rPr>
        <w:t>5</w:t>
      </w:r>
      <w:r>
        <w:rPr/>
        <w:t xml:space="preserve">(1), 60–68. </w:t>
      </w:r>
      <w:hyperlink r:id="rId55">
        <w:r>
          <w:rPr>
            <w:rStyle w:val="Hyperlink"/>
          </w:rPr>
          <w:t>https://doi.org/10.1080/23766808.2019.1659022</w:t>
        </w:r>
      </w:hyperlink>
      <w:bookmarkEnd w:id="84"/>
    </w:p>
    <w:p>
      <w:pPr>
        <w:pStyle w:val="Bibliography"/>
        <w:rPr/>
      </w:pPr>
      <w:bookmarkStart w:id="85" w:name="ref-vujanovic2021"/>
      <w:r>
        <w:rPr/>
        <w:t xml:space="preserve">Vujanovic, V. (2021). Tremellomycetes Yeasts in Kernel Ecological Niche: Early Indicators of Enhanced Competitiveness of Endophytic and Mycoparasitic Symbionts against Wheat Pathobiota. </w:t>
      </w:r>
      <w:r>
        <w:rPr>
          <w:i/>
          <w:iCs/>
        </w:rPr>
        <w:t>Plants</w:t>
      </w:r>
      <w:r>
        <w:rPr/>
        <w:t xml:space="preserve">, </w:t>
      </w:r>
      <w:r>
        <w:rPr>
          <w:i/>
          <w:iCs/>
        </w:rPr>
        <w:t>10</w:t>
      </w:r>
      <w:r>
        <w:rPr/>
        <w:t xml:space="preserve">(5), 905. </w:t>
      </w:r>
      <w:hyperlink r:id="rId56">
        <w:r>
          <w:rPr>
            <w:rStyle w:val="Hyperlink"/>
          </w:rPr>
          <w:t>https://doi.org/10.3390/plants10050905</w:t>
        </w:r>
      </w:hyperlink>
      <w:bookmarkEnd w:id="85"/>
    </w:p>
    <w:p>
      <w:pPr>
        <w:pStyle w:val="Bibliography"/>
        <w:rPr/>
      </w:pPr>
      <w:bookmarkStart w:id="86" w:name="ref-inbook"/>
      <w:r>
        <w:rPr/>
        <w:t xml:space="preserve">White, Bruns, Tom, Lee, S., &amp; Taylor, J. (1990). </w:t>
      </w:r>
      <w:r>
        <w:rPr>
          <w:i/>
          <w:iCs/>
        </w:rPr>
        <w:t>White, T. J., T. D. Bruns, S. B. Lee, and J. W. Taylor. Amplification and direct sequencing of fungal ribosomal RNA genes for phylogenetics</w:t>
      </w:r>
      <w:r>
        <w:rPr/>
        <w:t xml:space="preserve"> (pp. 315–322).</w:t>
      </w:r>
      <w:bookmarkEnd w:id="86"/>
    </w:p>
    <w:p>
      <w:pPr>
        <w:pStyle w:val="Bibliography"/>
        <w:rPr/>
      </w:pPr>
      <w:bookmarkStart w:id="87" w:name="ref-wu2008"/>
      <w:r>
        <w:rPr/>
        <w:t xml:space="preserve">Wu, C. A., Lowry, D. B., Cooley, A. M., Wright, K. M., Lee, Y. W., &amp; Willis, J. H. (2008). Mimulus is an emerging model system for the integration of ecological and genomic studies. </w:t>
      </w:r>
      <w:r>
        <w:rPr>
          <w:i/>
          <w:iCs/>
        </w:rPr>
        <w:t>Heredity</w:t>
      </w:r>
      <w:r>
        <w:rPr/>
        <w:t xml:space="preserve">, </w:t>
      </w:r>
      <w:r>
        <w:rPr>
          <w:i/>
          <w:iCs/>
        </w:rPr>
        <w:t>100</w:t>
      </w:r>
      <w:r>
        <w:rPr/>
        <w:t xml:space="preserve">(2), 220–230. </w:t>
      </w:r>
      <w:hyperlink r:id="rId57">
        <w:r>
          <w:rPr>
            <w:rStyle w:val="Hyperlink"/>
          </w:rPr>
          <w:t>https://doi.org/10.1038/sj.hdy.6801018</w:t>
        </w:r>
      </w:hyperlink>
      <w:bookmarkEnd w:id="87"/>
    </w:p>
    <w:p>
      <w:pPr>
        <w:pStyle w:val="Bibliography"/>
        <w:rPr/>
      </w:pPr>
      <w:bookmarkStart w:id="88" w:name="ref-yuan2019"/>
      <w:r>
        <w:rPr/>
        <w:t xml:space="preserve">Yuan, Y. W. (2019). Monkeyflowers (Mimulus): New model for plant developmental genetics and evo-devo. </w:t>
      </w:r>
      <w:r>
        <w:rPr>
          <w:i/>
          <w:iCs/>
        </w:rPr>
        <w:t>New Phytologist</w:t>
      </w:r>
      <w:r>
        <w:rPr/>
        <w:t xml:space="preserve">, </w:t>
      </w:r>
      <w:r>
        <w:rPr>
          <w:i/>
          <w:iCs/>
        </w:rPr>
        <w:t>222</w:t>
      </w:r>
      <w:r>
        <w:rPr/>
        <w:t xml:space="preserve">(2), 694–700. </w:t>
      </w:r>
      <w:hyperlink r:id="rId59">
        <w:r>
          <w:rPr>
            <w:rStyle w:val="Hyperlink"/>
          </w:rPr>
          <w:t>https://doi.org/10.1111/nph.15560</w:t>
        </w:r>
      </w:hyperlink>
      <w:bookmarkEnd w:id="25"/>
      <w:bookmarkEnd w:id="26"/>
      <w:bookmarkEnd w:id="88"/>
    </w:p>
    <w:p>
      <w:pPr>
        <w:pStyle w:val="Bibliography"/>
        <w:rPr>
          <w:rStyle w:val="Hyperlink"/>
        </w:rPr>
      </w:pPr>
      <w:r>
        <w:rPr/>
      </w:r>
    </w:p>
    <w:p>
      <w:pPr>
        <w:pStyle w:val="Heading1"/>
        <w:rPr/>
      </w:pPr>
      <w:r>
        <w:rPr/>
      </w:r>
    </w:p>
    <w:p>
      <w:pPr>
        <w:pStyle w:val="BodyText"/>
        <w:rPr/>
      </w:pPr>
      <w:r>
        <w:rPr/>
      </w:r>
    </w:p>
    <w:p>
      <w:pPr>
        <w:pStyle w:val="Heading1"/>
        <w:rPr/>
      </w:pPr>
      <w:r>
        <w:rPr/>
      </w:r>
    </w:p>
    <w:p>
      <w:pPr>
        <w:pStyle w:val="BodyText"/>
        <w:rPr/>
      </w:pPr>
      <w:r>
        <w:rPr/>
      </w:r>
    </w:p>
    <w:p>
      <w:pPr>
        <w:pStyle w:val="BodyText"/>
        <w:rPr/>
      </w:pPr>
      <w:r>
        <w:rPr/>
      </w:r>
    </w:p>
    <w:p>
      <w:pPr>
        <w:pStyle w:val="BodyText"/>
        <w:rPr/>
      </w:pPr>
      <w:r>
        <w:rPr/>
      </w:r>
    </w:p>
    <w:p>
      <w:pPr>
        <w:pStyle w:val="BodyText"/>
        <w:rPr/>
      </w:pPr>
      <w:r>
        <w:rPr/>
      </w:r>
    </w:p>
    <w:p>
      <w:pPr>
        <w:pStyle w:val="Heading1"/>
        <w:rPr/>
      </w:pPr>
      <w:bookmarkStart w:id="89" w:name="figures"/>
      <w:r>
        <w:rPr/>
        <w:t>12. Figures</w:t>
      </w:r>
    </w:p>
    <w:p>
      <w:pPr>
        <w:pStyle w:val="Heading2"/>
        <w:rPr>
          <w:rStyle w:val="VerbatimChar"/>
        </w:rPr>
      </w:pPr>
      <w:bookmarkStart w:id="90" w:name="figure-1"/>
      <w:r>
        <w:rPr/>
        <w:t>12.1 Figure 1</w:t>
      </w:r>
    </w:p>
    <w:p>
      <w:pPr>
        <w:pStyle w:val="CaptionedFigure"/>
        <w:rPr/>
      </w:pPr>
      <w:r>
        <w:rPr/>
        <w:drawing>
          <wp:inline distT="0" distB="0" distL="0" distR="0">
            <wp:extent cx="5544185" cy="6405880"/>
            <wp:effectExtent l="0" t="0" r="0" b="0"/>
            <wp:docPr id="1" name="Picture" descr="Bar plot of relative abundance of fungal phyla in un-rarefied data, by species and elevation categ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descr="Bar plot of relative abundance of fungal phyla in un-rarefied data, by species and elevation category."/>
                    <pic:cNvPicPr>
                      <a:picLocks noChangeAspect="1" noChangeArrowheads="1"/>
                    </pic:cNvPicPr>
                  </pic:nvPicPr>
                  <pic:blipFill>
                    <a:blip r:embed="rId60"/>
                    <a:stretch>
                      <a:fillRect/>
                    </a:stretch>
                  </pic:blipFill>
                  <pic:spPr bwMode="auto">
                    <a:xfrm>
                      <a:off x="0" y="0"/>
                      <a:ext cx="5544185" cy="6405880"/>
                    </a:xfrm>
                    <a:prstGeom prst="rect">
                      <a:avLst/>
                    </a:prstGeom>
                  </pic:spPr>
                </pic:pic>
              </a:graphicData>
            </a:graphic>
          </wp:inline>
        </w:drawing>
      </w:r>
    </w:p>
    <w:p>
      <w:pPr>
        <w:pStyle w:val="ImageCaption"/>
        <w:rPr/>
      </w:pPr>
      <w:r>
        <w:rPr/>
        <w:t>R</w:t>
      </w:r>
      <w:r>
        <w:rPr/>
        <w:t xml:space="preserve">elative abundance of fungal phyla in </w:t>
      </w:r>
      <w:r>
        <w:rPr/>
        <w:t xml:space="preserve">raw (A) and </w:t>
      </w:r>
      <w:r>
        <w:rPr/>
        <w:t xml:space="preserve">rarefied </w:t>
      </w:r>
      <w:r>
        <w:rPr/>
        <w:t>(B)</w:t>
      </w:r>
      <w:r>
        <w:rPr/>
        <w:t xml:space="preserve"> data, by species and elevation category.</w:t>
      </w:r>
      <w:bookmarkEnd w:id="90"/>
    </w:p>
    <w:p>
      <w:pPr>
        <w:pStyle w:val="Heading2"/>
        <w:rPr/>
      </w:pPr>
      <w:bookmarkStart w:id="91" w:name="figure-2"/>
      <w:r>
        <w:rPr/>
        <w:t>12.2 Figure 2</w:t>
      </w:r>
    </w:p>
    <w:p>
      <w:pPr>
        <w:pStyle w:val="CaptionedFigure"/>
        <w:rPr/>
      </w:pPr>
      <w:r>
        <w:rPr/>
        <w:drawing>
          <wp:inline distT="0" distB="0" distL="0" distR="0">
            <wp:extent cx="5544185" cy="6468110"/>
            <wp:effectExtent l="0" t="0" r="0" b="0"/>
            <wp:docPr id="2" name="Image2" descr="Relationship between Hill orders by host species and elevation. A) Observed ASV richness (𝑞 = 0); B) Shannon’s entropy (𝑞 = 1); and C) Inverse Simpson’s index (𝑞 = 2) per host species as elevation increases. Blue filled points correspond to M. laciniatus, green filled to M. nasutus, and yellow to M. guttatus. The solid line represents the linear model fit and the shaded area represents the 95% confidence interv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Relationship between Hill orders by host species and elevation. A) Observed ASV richness (𝑞 = 0); B) Shannon’s entropy (𝑞 = 1); and C) Inverse Simpson’s index (𝑞 = 2) per host species as elevation increases. Blue filled points correspond to M. laciniatus, green filled to M. nasutus, and yellow to M. guttatus. The solid line represents the linear model fit and the shaded area represents the 95% confidence interval."/>
                    <pic:cNvPicPr>
                      <a:picLocks noChangeAspect="1" noChangeArrowheads="1"/>
                    </pic:cNvPicPr>
                  </pic:nvPicPr>
                  <pic:blipFill>
                    <a:blip r:embed="rId61"/>
                    <a:stretch>
                      <a:fillRect/>
                    </a:stretch>
                  </pic:blipFill>
                  <pic:spPr bwMode="auto">
                    <a:xfrm>
                      <a:off x="0" y="0"/>
                      <a:ext cx="5544185" cy="6468110"/>
                    </a:xfrm>
                    <a:prstGeom prst="rect">
                      <a:avLst/>
                    </a:prstGeom>
                  </pic:spPr>
                </pic:pic>
              </a:graphicData>
            </a:graphic>
          </wp:inline>
        </w:drawing>
      </w:r>
    </w:p>
    <w:p>
      <w:pPr>
        <w:pStyle w:val="ImageCaption"/>
        <w:rPr/>
      </w:pPr>
      <w:r>
        <w:rPr/>
        <w:t xml:space="preserve">Relationship between Hill orders by host species and elevation. A) Observed ASV richness (𝑞 = 0); B) Shannon’s entropy (𝑞 = 1); and C) Inverse Simpson’s index (𝑞 = 2) per host species as elevation increases. Blue filled points correspond to </w:t>
      </w:r>
      <w:r>
        <w:rPr>
          <w:i/>
          <w:iCs/>
        </w:rPr>
        <w:t>M. laciniatus</w:t>
      </w:r>
      <w:r>
        <w:rPr/>
        <w:t xml:space="preserve">, green filled to </w:t>
      </w:r>
      <w:r>
        <w:rPr>
          <w:i/>
          <w:iCs/>
        </w:rPr>
        <w:t>M. nasutus</w:t>
      </w:r>
      <w:r>
        <w:rPr/>
        <w:t xml:space="preserve">, and yellow to </w:t>
      </w:r>
      <w:r>
        <w:rPr>
          <w:i/>
          <w:iCs/>
        </w:rPr>
        <w:t>M. guttatus</w:t>
      </w:r>
      <w:r>
        <w:rPr/>
        <w:t>. The solid line represents the linear model fit and the shaded area represents the 95% confidence interval.</w:t>
      </w:r>
      <w:bookmarkEnd w:id="91"/>
    </w:p>
    <w:p>
      <w:pPr>
        <w:pStyle w:val="Heading2"/>
        <w:rPr/>
      </w:pPr>
      <w:bookmarkStart w:id="92" w:name="figure-3"/>
      <w:r>
        <w:rPr/>
        <w:t>12.3 Figure 3</w:t>
      </w:r>
    </w:p>
    <w:p>
      <w:pPr>
        <w:pStyle w:val="CaptionedFigure"/>
        <w:rPr/>
      </w:pPr>
      <w:r>
        <w:rPr/>
        <w:drawing>
          <wp:inline distT="0" distB="0" distL="0" distR="0">
            <wp:extent cx="5544185" cy="5544185"/>
            <wp:effectExtent l="0" t="0" r="0" b="0"/>
            <wp:docPr id="3" name="Image3" descr="Alpha and beta diversity means comparisons in host species and eklevation categories. Alpha diversity means comparisons; A) Observed ASV richness (𝑞 = 0); B) Shannon’s entropy (𝑞 = 1); and C) Inverse Simpson’s index (𝑞 = 2) per host species. A-C) Blue filled violins correspond to M. laciniatus, green filled to M. nasutus, and yellow to M. guttatus. Beta diversity mean comparions; A) Observed ASV richness (𝑞 = 0); B) Shannon’s entropy (𝑞 = 1); and C) Inverse Simpson’s index (𝑞 = 2)per elevation category. D-F) Violet violins correspond to LOW elevation sites, pink filled to MID and light maroon to HIGH elevation sites, while squares represent M. laciniatus , circles M. nasutus and triangles M. guttatus. Significance levels are represented by ns (not significant) and asterisks [p &lt; 0.05 (*), p &lt; 0.01 (*), p* &lt; 0.001 (*), and p &lt; 0.0001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descr="Alpha and beta diversity means comparisons in host species and eklevation categories. Alpha diversity means comparisons; A) Observed ASV richness (𝑞 = 0); B) Shannon’s entropy (𝑞 = 1); and C) Inverse Simpson’s index (𝑞 = 2) per host species. A-C) Blue filled violins correspond to M. laciniatus, green filled to M. nasutus, and yellow to M. guttatus. Beta diversity mean comparions; A) Observed ASV richness (𝑞 = 0); B) Shannon’s entropy (𝑞 = 1); and C) Inverse Simpson’s index (𝑞 = 2)per elevation category. D-F) Violet violins correspond to LOW elevation sites, pink filled to MID and light maroon to HIGH elevation sites, while squares represent M. laciniatus , circles M. nasutus and triangles M. guttatus. Significance levels are represented by ns (not significant) and asterisks [p &lt; 0.05 (*), p &lt; 0.01 (*), p* &lt; 0.001 (*), and p &lt; 0.0001 (**)]."/>
                    <pic:cNvPicPr>
                      <a:picLocks noChangeAspect="1" noChangeArrowheads="1"/>
                    </pic:cNvPicPr>
                  </pic:nvPicPr>
                  <pic:blipFill>
                    <a:blip r:embed="rId62"/>
                    <a:stretch>
                      <a:fillRect/>
                    </a:stretch>
                  </pic:blipFill>
                  <pic:spPr bwMode="auto">
                    <a:xfrm>
                      <a:off x="0" y="0"/>
                      <a:ext cx="5544185" cy="5544185"/>
                    </a:xfrm>
                    <a:prstGeom prst="rect">
                      <a:avLst/>
                    </a:prstGeom>
                  </pic:spPr>
                </pic:pic>
              </a:graphicData>
            </a:graphic>
          </wp:inline>
        </w:drawing>
      </w:r>
    </w:p>
    <w:p>
      <w:pPr>
        <w:pStyle w:val="ImageCaption"/>
        <w:rPr/>
      </w:pPr>
      <w:r>
        <w:rPr/>
        <w:t xml:space="preserve">Alpha and beta diversity means comparisons in host species and eklevation categories. Alpha diversity means comparisons; A) Observed ASV richness (𝑞 = 0); B) Shannon’s entropy (𝑞 = 1); and C) Inverse Simpson’s index (𝑞 = 2) per host species. A-C) Blue filled violins correspond to </w:t>
      </w:r>
      <w:r>
        <w:rPr>
          <w:i/>
          <w:iCs/>
        </w:rPr>
        <w:t>M. laciniatus</w:t>
      </w:r>
      <w:r>
        <w:rPr/>
        <w:t xml:space="preserve">, green filled to </w:t>
      </w:r>
      <w:r>
        <w:rPr>
          <w:i/>
          <w:iCs/>
        </w:rPr>
        <w:t>M. nasutus</w:t>
      </w:r>
      <w:r>
        <w:rPr/>
        <w:t xml:space="preserve">, and yellow to </w:t>
      </w:r>
      <w:r>
        <w:rPr>
          <w:i/>
          <w:iCs/>
        </w:rPr>
        <w:t>M. guttatus</w:t>
      </w:r>
      <w:r>
        <w:rPr/>
        <w:t xml:space="preserve">. Beta diversity mean comparions; A) Observed ASV richness (𝑞 = 0); B) Shannon’s entropy (𝑞 = 1); and C) Inverse Simpson’s index (𝑞 = 2)per elevation category. D-F) Violet violins correspond to LOW elevation sites, pink filled to MID and light maroon to HIGH elevation sites, while squares represent </w:t>
      </w:r>
      <w:r>
        <w:rPr>
          <w:i/>
          <w:iCs/>
        </w:rPr>
        <w:t>M. laciniatus</w:t>
      </w:r>
      <w:r>
        <w:rPr/>
        <w:t xml:space="preserve"> , circles </w:t>
      </w:r>
      <w:r>
        <w:rPr>
          <w:i/>
          <w:iCs/>
        </w:rPr>
        <w:t>M. nasutus</w:t>
      </w:r>
      <w:r>
        <w:rPr/>
        <w:t xml:space="preserve"> and triangles </w:t>
      </w:r>
      <w:r>
        <w:rPr>
          <w:i/>
          <w:iCs/>
        </w:rPr>
        <w:t>M. guttatus</w:t>
      </w:r>
      <w:r>
        <w:rPr/>
        <w:t xml:space="preserve">. Significance levels are represented by </w:t>
      </w:r>
      <w:r>
        <w:rPr>
          <w:i/>
          <w:iCs/>
        </w:rPr>
        <w:t>ns</w:t>
      </w:r>
      <w:r>
        <w:rPr/>
        <w:t xml:space="preserve"> (not significant) and asterisks [</w:t>
      </w:r>
      <w:r>
        <w:rPr>
          <w:i/>
          <w:iCs/>
        </w:rPr>
        <w:t>p</w:t>
      </w:r>
      <w:r>
        <w:rPr/>
        <w:t xml:space="preserve"> &lt; 0.05 (*), </w:t>
      </w:r>
      <w:r>
        <w:rPr>
          <w:i/>
          <w:iCs/>
        </w:rPr>
        <w:t>p</w:t>
      </w:r>
      <w:r>
        <w:rPr/>
        <w:t xml:space="preserve"> &lt; 0.01 (*</w:t>
      </w:r>
      <w:r>
        <w:rPr>
          <w:i/>
          <w:iCs/>
        </w:rPr>
        <w:t>*),</w:t>
      </w:r>
      <w:r>
        <w:rPr/>
        <w:t xml:space="preserve"> p &lt; 0.001 (*</w:t>
      </w:r>
      <w:r>
        <w:rPr>
          <w:b/>
          <w:bCs/>
        </w:rPr>
        <w:t>**),</w:t>
      </w:r>
      <w:r>
        <w:rPr>
          <w:b w:val="false"/>
          <w:bCs w:val="false"/>
        </w:rPr>
        <w:t xml:space="preserve"> an</w:t>
      </w:r>
      <w:r>
        <w:rPr>
          <w:b w:val="false"/>
          <w:bCs w:val="false"/>
          <w:i/>
          <w:iCs/>
        </w:rPr>
        <w:t>d</w:t>
      </w:r>
      <w:r>
        <w:rPr>
          <w:b w:val="false"/>
          <w:bCs w:val="false"/>
        </w:rPr>
        <w:t xml:space="preserve"> </w:t>
      </w:r>
      <w:r>
        <w:rPr>
          <w:b w:val="false"/>
          <w:bCs w:val="false"/>
          <w:i/>
          <w:iCs/>
        </w:rPr>
        <w:t xml:space="preserve">p </w:t>
      </w:r>
      <w:r>
        <w:rPr>
          <w:b w:val="false"/>
          <w:bCs w:val="false"/>
        </w:rPr>
        <w:t xml:space="preserve">&lt; 0.0001 </w:t>
      </w:r>
      <w:r>
        <w:rPr/>
        <w:t>(****)].</w:t>
      </w:r>
      <w:bookmarkEnd w:id="92"/>
    </w:p>
    <w:p>
      <w:pPr>
        <w:pStyle w:val="Heading2"/>
        <w:rPr/>
      </w:pPr>
      <w:bookmarkStart w:id="93" w:name="figure-4"/>
      <w:r>
        <w:rPr/>
        <w:t>12.4 Figure 4</w:t>
      </w:r>
    </w:p>
    <w:p>
      <w:pPr>
        <w:pStyle w:val="CaptionedFigure"/>
        <w:rPr/>
      </w:pPr>
      <w:r>
        <w:rPr/>
        <w:drawing>
          <wp:inline distT="0" distB="0" distL="0" distR="0">
            <wp:extent cx="5544185" cy="6468110"/>
            <wp:effectExtent l="0" t="0" r="0" b="0"/>
            <wp:docPr id="4" name="Image4" descr="FEF community composition association with leaf functional traits and elevation per host species. Distance-based Redundancy Analysis (dbRDA) plot of rarefied FEF community and leaf functional traits by species. A) Each cluster of points represents a rarefied FEF community sample from one host species; blue filled squares correspond to M. laciniatus, green circles to M. nasutus, and yellow triangles to M. guttatus. B) Purple filled shapes correspond to LOW elevation, pink chapes to MID elevation and light maroon shapes to HIGH elevation. Point shapes correspond to host species. Solid arrow lines represent significant associations (p &lt;0.01), while dashed lines represent non-significant associations. The length and direction of the arrows indicate the strength and direction of the association between the traits and the FEF community composition. The labels on the arrows correspond to the leaf functional traits. Ellipses represent 95% confidence intervals. The plot is based on the Bray-Curtis dissimilarity matri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descr="FEF community composition association with leaf functional traits and elevation per host species. Distance-based Redundancy Analysis (dbRDA) plot of rarefied FEF community and leaf functional traits by species. A) Each cluster of points represents a rarefied FEF community sample from one host species; blue filled squares correspond to M. laciniatus, green circles to M. nasutus, and yellow triangles to M. guttatus. B) Purple filled shapes correspond to LOW elevation, pink chapes to MID elevation and light maroon shapes to HIGH elevation. Point shapes correspond to host species. Solid arrow lines represent significant associations (p &lt;0.01), while dashed lines represent non-significant associations. The length and direction of the arrows indicate the strength and direction of the association between the traits and the FEF community composition. The labels on the arrows correspond to the leaf functional traits. Ellipses represent 95% confidence intervals. The plot is based on the Bray-Curtis dissimilarity matrix."/>
                    <pic:cNvPicPr>
                      <a:picLocks noChangeAspect="1" noChangeArrowheads="1"/>
                    </pic:cNvPicPr>
                  </pic:nvPicPr>
                  <pic:blipFill>
                    <a:blip r:embed="rId63"/>
                    <a:stretch>
                      <a:fillRect/>
                    </a:stretch>
                  </pic:blipFill>
                  <pic:spPr bwMode="auto">
                    <a:xfrm>
                      <a:off x="0" y="0"/>
                      <a:ext cx="5544185" cy="6468110"/>
                    </a:xfrm>
                    <a:prstGeom prst="rect">
                      <a:avLst/>
                    </a:prstGeom>
                  </pic:spPr>
                </pic:pic>
              </a:graphicData>
            </a:graphic>
          </wp:inline>
        </w:drawing>
      </w:r>
    </w:p>
    <w:p>
      <w:pPr>
        <w:pStyle w:val="ImageCaption"/>
        <w:rPr/>
      </w:pPr>
      <w:r>
        <w:rPr/>
        <w:t xml:space="preserve">FEF community composition association with leaf functional traits and elevation per host species. Distance-based Redundancy Analysis (dbRDA) plot of rarefied FEF community and leaf functional traits by species. A) Each cluster of points represents a rarefied FEF community sample from one host species; blue filled squares correspond to </w:t>
      </w:r>
      <w:r>
        <w:rPr>
          <w:i/>
          <w:iCs/>
        </w:rPr>
        <w:t>M. laciniatus</w:t>
      </w:r>
      <w:r>
        <w:rPr/>
        <w:t xml:space="preserve">, green circles to </w:t>
      </w:r>
      <w:r>
        <w:rPr>
          <w:i/>
          <w:iCs/>
        </w:rPr>
        <w:t>M. nasutus</w:t>
      </w:r>
      <w:r>
        <w:rPr/>
        <w:t xml:space="preserve">, and yellow triangles to </w:t>
      </w:r>
      <w:r>
        <w:rPr>
          <w:i/>
          <w:iCs/>
        </w:rPr>
        <w:t>M. guttatus</w:t>
      </w:r>
      <w:r>
        <w:rPr/>
        <w:t>. B) Purple filled shapes correspond to LOW elevation, pink chapes to MID elevation and light maroon shapes to HIGH elevation. Point shapes correspond to host species. Solid arrow lines represent significant associations (</w:t>
      </w:r>
      <w:r>
        <w:rPr>
          <w:i/>
          <w:iCs/>
        </w:rPr>
        <w:t>p</w:t>
      </w:r>
      <w:r>
        <w:rPr/>
        <w:t xml:space="preserve"> &lt;0.01), while dashed lines represent non-significant associations. The length and direction of the arrows indicate the strength and direction of the association between the traits and the FEF community composition. The labels on the arrows correspond to the leaf functional traits. Ellipses represent 95% confidence intervals. The plot is based on the Bray-Curtis dissimilarity matrix.</w:t>
      </w:r>
      <w:bookmarkEnd w:id="93"/>
    </w:p>
    <w:p>
      <w:pPr>
        <w:pStyle w:val="Heading2"/>
        <w:rPr/>
      </w:pPr>
      <w:bookmarkStart w:id="94" w:name="figure-5"/>
      <w:r>
        <w:rPr/>
        <w:t>12.5 Figure 5</w:t>
      </w:r>
    </w:p>
    <w:p>
      <w:pPr>
        <w:pStyle w:val="CaptionedFigure"/>
        <w:rPr/>
      </w:pPr>
      <w:r>
        <w:rPr/>
        <w:drawing>
          <wp:inline distT="0" distB="0" distL="0" distR="0">
            <wp:extent cx="5544185" cy="6468110"/>
            <wp:effectExtent l="0" t="0" r="0" b="0"/>
            <wp:docPr id="5" name="Image5" descr="Dissimilarity of FEF communities associates with Mimulus as a function of geographic distance per site. Data represent pairwise Bray-Curtis dissimilarity among sites. A) Fefe community dissimilarity in considering all host species. B) FEf community dissimilarity by host species. Blue filled points correspond to M. laciniatus, green filled to M. nasutus, and yellow to M. guttat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 descr="Dissimilarity of FEF communities associates with Mimulus as a function of geographic distance per site. Data represent pairwise Bray-Curtis dissimilarity among sites. A) Fefe community dissimilarity in considering all host species. B) FEf community dissimilarity by host species. Blue filled points correspond to M. laciniatus, green filled to M. nasutus, and yellow to M. guttatus."/>
                    <pic:cNvPicPr>
                      <a:picLocks noChangeAspect="1" noChangeArrowheads="1"/>
                    </pic:cNvPicPr>
                  </pic:nvPicPr>
                  <pic:blipFill>
                    <a:blip r:embed="rId64"/>
                    <a:stretch>
                      <a:fillRect/>
                    </a:stretch>
                  </pic:blipFill>
                  <pic:spPr bwMode="auto">
                    <a:xfrm>
                      <a:off x="0" y="0"/>
                      <a:ext cx="5544185" cy="6468110"/>
                    </a:xfrm>
                    <a:prstGeom prst="rect">
                      <a:avLst/>
                    </a:prstGeom>
                  </pic:spPr>
                </pic:pic>
              </a:graphicData>
            </a:graphic>
          </wp:inline>
        </w:drawing>
      </w:r>
    </w:p>
    <w:p>
      <w:pPr>
        <w:pStyle w:val="ImageCaption"/>
        <w:rPr/>
      </w:pPr>
      <w:r>
        <w:rPr/>
        <w:t xml:space="preserve">Dissimilarity of FEF communities associates with </w:t>
      </w:r>
      <w:r>
        <w:rPr>
          <w:i/>
          <w:iCs/>
        </w:rPr>
        <w:t>Mimulus</w:t>
      </w:r>
      <w:r>
        <w:rPr/>
        <w:t xml:space="preserve"> as a function of geographic distance per site. Data represent pairwise Bray-Curtis dissimilarity among sites. A) Fefe community dissimilarity in considering all host species. B) FEf community dissimilarity by host species. Blue filled points correspond to </w:t>
      </w:r>
      <w:r>
        <w:rPr>
          <w:i/>
          <w:iCs/>
        </w:rPr>
        <w:t>M. laciniatus</w:t>
      </w:r>
      <w:r>
        <w:rPr/>
        <w:t xml:space="preserve">, green filled to </w:t>
      </w:r>
      <w:r>
        <w:rPr>
          <w:i/>
          <w:iCs/>
        </w:rPr>
        <w:t>M. nasutus</w:t>
      </w:r>
      <w:r>
        <w:rPr/>
        <w:t xml:space="preserve">, and yellow to </w:t>
      </w:r>
      <w:r>
        <w:rPr>
          <w:i/>
          <w:iCs/>
        </w:rPr>
        <w:t>M. guttatus</w:t>
      </w:r>
      <w:r>
        <w:rPr/>
        <w:t>.</w:t>
      </w:r>
      <w:bookmarkEnd w:id="94"/>
    </w:p>
    <w:p>
      <w:pPr>
        <w:pStyle w:val="Heading2"/>
        <w:rPr/>
      </w:pPr>
      <w:bookmarkStart w:id="95" w:name="figure-6"/>
      <w:r>
        <w:rPr/>
        <w:t>12.6 Figure 6</w:t>
      </w:r>
    </w:p>
    <w:p>
      <w:pPr>
        <w:pStyle w:val="CaptionedFigure"/>
        <w:rPr/>
      </w:pPr>
      <w:r>
        <w:rPr/>
        <w:drawing>
          <wp:inline distT="0" distB="0" distL="0" distR="0">
            <wp:extent cx="5544185" cy="5544185"/>
            <wp:effectExtent l="0" t="0" r="0" b="0"/>
            <wp:docPr id="6" name="Image6" descr="The Principal Component Analysis (PCA) shows how leaf functional traits are correlated. The PCA analyses shows correlations between ACI, LT, LPS, and LMA as loadings track along PC1 towards positive values. We observe distinct groupings by species along PC2 such that M. laciniatus, the most lobed species, is distinct from M.guttatus and M. nasutus. The latter two have greater overlap along PC1 and PC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 descr="The Principal Component Analysis (PCA) shows how leaf functional traits are correlated. The PCA analyses shows correlations between ACI, LT, LPS, and LMA as loadings track along PC1 towards positive values. We observe distinct groupings by species along PC2 such that M. laciniatus, the most lobed species, is distinct from M.guttatus and M. nasutus. The latter two have greater overlap along PC1 and PC2."/>
                    <pic:cNvPicPr>
                      <a:picLocks noChangeAspect="1" noChangeArrowheads="1"/>
                    </pic:cNvPicPr>
                  </pic:nvPicPr>
                  <pic:blipFill>
                    <a:blip r:embed="rId65"/>
                    <a:stretch>
                      <a:fillRect/>
                    </a:stretch>
                  </pic:blipFill>
                  <pic:spPr bwMode="auto">
                    <a:xfrm>
                      <a:off x="0" y="0"/>
                      <a:ext cx="5544185" cy="5544185"/>
                    </a:xfrm>
                    <a:prstGeom prst="rect">
                      <a:avLst/>
                    </a:prstGeom>
                  </pic:spPr>
                </pic:pic>
              </a:graphicData>
            </a:graphic>
          </wp:inline>
        </w:drawing>
      </w:r>
    </w:p>
    <w:p>
      <w:pPr>
        <w:pStyle w:val="ImageCaption"/>
        <w:rPr/>
      </w:pPr>
      <w:r>
        <w:rPr/>
        <w:t xml:space="preserve">The Principal Component Analysis (PCA) shows how leaf functional traits are correlated. The PCA analyses shows correlations between ACI, LT, LPS, and LMA as loadings track along PC1 towards positive values. We observe distinct groupings by species along PC2 such that </w:t>
      </w:r>
      <w:r>
        <w:rPr>
          <w:i/>
          <w:iCs/>
        </w:rPr>
        <w:t>M. laciniatus</w:t>
      </w:r>
      <w:r>
        <w:rPr/>
        <w:t xml:space="preserve">, the most lobed species, is distinct from </w:t>
      </w:r>
      <w:r>
        <w:rPr>
          <w:i/>
          <w:iCs/>
        </w:rPr>
        <w:t>M.guttatus</w:t>
      </w:r>
      <w:r>
        <w:rPr/>
        <w:t xml:space="preserve"> and </w:t>
      </w:r>
      <w:r>
        <w:rPr>
          <w:i/>
          <w:iCs/>
        </w:rPr>
        <w:t>M. nasutus</w:t>
      </w:r>
      <w:r>
        <w:rPr/>
        <w:t>. The latter two have greater overlap along PC1 and PC2.</w:t>
      </w:r>
      <w:bookmarkEnd w:id="89"/>
      <w:bookmarkEnd w:id="95"/>
    </w:p>
    <w:p>
      <w:pPr>
        <w:pStyle w:val="Heading1"/>
        <w:rPr/>
      </w:pPr>
      <w:bookmarkStart w:id="96" w:name="supplementary-material"/>
      <w:r>
        <w:rPr/>
        <w:t>13. Supplementary Material</w:t>
      </w:r>
    </w:p>
    <w:p>
      <w:pPr>
        <w:pStyle w:val="Heading2"/>
        <w:rPr/>
      </w:pPr>
      <w:bookmarkStart w:id="97" w:name="figure-s1"/>
      <w:r>
        <w:rPr/>
        <w:t>13.1 Figure S1</w:t>
      </w:r>
    </w:p>
    <w:p>
      <w:pPr>
        <w:pStyle w:val="CaptionedFigure"/>
        <w:rPr/>
      </w:pPr>
      <w:r>
        <w:rPr/>
        <w:drawing>
          <wp:inline distT="0" distB="0" distL="0" distR="0">
            <wp:extent cx="5544185" cy="5544185"/>
            <wp:effectExtent l="0" t="0" r="0" b="0"/>
            <wp:docPr id="7" name="Image7" descr="Correlation matrix of log-transformed leaf functional traits by host species. The plot is based on the Spearman’s r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7" descr="Correlation matrix of log-transformed leaf functional traits by host species. The plot is based on the Spearman’s rho."/>
                    <pic:cNvPicPr>
                      <a:picLocks noChangeAspect="1" noChangeArrowheads="1"/>
                    </pic:cNvPicPr>
                  </pic:nvPicPr>
                  <pic:blipFill>
                    <a:blip r:embed="rId66"/>
                    <a:stretch>
                      <a:fillRect/>
                    </a:stretch>
                  </pic:blipFill>
                  <pic:spPr bwMode="auto">
                    <a:xfrm>
                      <a:off x="0" y="0"/>
                      <a:ext cx="5544185" cy="5544185"/>
                    </a:xfrm>
                    <a:prstGeom prst="rect">
                      <a:avLst/>
                    </a:prstGeom>
                  </pic:spPr>
                </pic:pic>
              </a:graphicData>
            </a:graphic>
          </wp:inline>
        </w:drawing>
      </w:r>
    </w:p>
    <w:p>
      <w:pPr>
        <w:pStyle w:val="ImageCaption"/>
        <w:rPr/>
      </w:pPr>
      <w:bookmarkStart w:id="98" w:name="figure-s1"/>
      <w:r>
        <w:rPr/>
        <w:t>Correlation matrix of log-transformed leaf functional traits by host species. The plot is based on the Spearman’s rho.</w:t>
      </w:r>
      <w:bookmarkEnd w:id="98"/>
      <w:r>
        <w:rPr/>
        <w:t xml:space="preserve"> Significance levels are represented by </w:t>
      </w:r>
      <w:r>
        <w:rPr>
          <w:i/>
          <w:iCs/>
        </w:rPr>
        <w:t>ns</w:t>
      </w:r>
      <w:r>
        <w:rPr/>
        <w:t xml:space="preserve"> (not significant) and asterisks [</w:t>
      </w:r>
      <w:r>
        <w:rPr>
          <w:i/>
          <w:iCs/>
        </w:rPr>
        <w:t>p</w:t>
      </w:r>
      <w:r>
        <w:rPr/>
        <w:t xml:space="preserve"> &lt; 0.05 (*), </w:t>
      </w:r>
      <w:r>
        <w:rPr>
          <w:i/>
          <w:iCs/>
        </w:rPr>
        <w:t>p</w:t>
      </w:r>
      <w:r>
        <w:rPr/>
        <w:t xml:space="preserve"> &lt; 0.01 (*</w:t>
      </w:r>
      <w:r>
        <w:rPr>
          <w:i/>
          <w:iCs/>
        </w:rPr>
        <w:t>*),</w:t>
      </w:r>
      <w:r>
        <w:rPr/>
        <w:t xml:space="preserve"> p &lt; 0.001 (*</w:t>
      </w:r>
      <w:r>
        <w:rPr>
          <w:b/>
          <w:bCs/>
        </w:rPr>
        <w:t>**),</w:t>
      </w:r>
      <w:r>
        <w:rPr>
          <w:b w:val="false"/>
          <w:bCs w:val="false"/>
        </w:rPr>
        <w:t xml:space="preserve"> an</w:t>
      </w:r>
      <w:r>
        <w:rPr>
          <w:b w:val="false"/>
          <w:bCs w:val="false"/>
          <w:i/>
          <w:iCs/>
        </w:rPr>
        <w:t>d</w:t>
      </w:r>
      <w:r>
        <w:rPr>
          <w:b w:val="false"/>
          <w:bCs w:val="false"/>
        </w:rPr>
        <w:t xml:space="preserve"> </w:t>
      </w:r>
      <w:r>
        <w:rPr>
          <w:b w:val="false"/>
          <w:bCs w:val="false"/>
          <w:i/>
          <w:iCs/>
        </w:rPr>
        <w:t xml:space="preserve">p </w:t>
      </w:r>
      <w:r>
        <w:rPr>
          <w:b w:val="false"/>
          <w:bCs w:val="false"/>
        </w:rPr>
        <w:t xml:space="preserve">&lt; 0.0001 </w:t>
      </w:r>
      <w:r>
        <w:rPr/>
        <w:t>(****)].</w:t>
      </w:r>
    </w:p>
    <w:p>
      <w:pPr>
        <w:pStyle w:val="Heading2"/>
        <w:rPr/>
      </w:pPr>
      <w:bookmarkStart w:id="99" w:name="figure-s2"/>
      <w:r>
        <w:rPr/>
        <w:t>13.2 Figure S2</w:t>
      </w:r>
    </w:p>
    <w:p>
      <w:pPr>
        <w:pStyle w:val="CaptionedFigure"/>
        <w:rPr/>
      </w:pPr>
      <w:r>
        <w:rPr/>
        <w:drawing>
          <wp:inline distT="0" distB="0" distL="0" distR="0">
            <wp:extent cx="5544185" cy="5544185"/>
            <wp:effectExtent l="0" t="0" r="0" b="0"/>
            <wp:docPr id="8" name="Image8" descr="Heatmap of the top 10 most abundant genera in the dataset. The heatmap shows the relative abundance of the top 10 most abundant genera in the dataset. The heatmap is faceted by host species and elevation categ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8" descr="Heatmap of the top 10 most abundant genera in the dataset. The heatmap shows the relative abundance of the top 10 most abundant genera in the dataset. The heatmap is faceted by host species and elevation category."/>
                    <pic:cNvPicPr>
                      <a:picLocks noChangeAspect="1" noChangeArrowheads="1"/>
                    </pic:cNvPicPr>
                  </pic:nvPicPr>
                  <pic:blipFill>
                    <a:blip r:embed="rId67"/>
                    <a:stretch>
                      <a:fillRect/>
                    </a:stretch>
                  </pic:blipFill>
                  <pic:spPr bwMode="auto">
                    <a:xfrm>
                      <a:off x="0" y="0"/>
                      <a:ext cx="5544185" cy="5544185"/>
                    </a:xfrm>
                    <a:prstGeom prst="rect">
                      <a:avLst/>
                    </a:prstGeom>
                  </pic:spPr>
                </pic:pic>
              </a:graphicData>
            </a:graphic>
          </wp:inline>
        </w:drawing>
      </w:r>
    </w:p>
    <w:p>
      <w:pPr>
        <w:pStyle w:val="ImageCaption"/>
        <w:rPr/>
      </w:pPr>
      <w:bookmarkStart w:id="100" w:name="figure-s2"/>
      <w:r>
        <w:rPr/>
        <w:t>Heatmap of the top 10 most abundant genera in the dataset. The heatmap shows the relative abundance of the top 10 most abundant genera in the dataset. The heatmap is faceted by host species and elevation category.</w:t>
      </w:r>
      <w:bookmarkEnd w:id="100"/>
    </w:p>
    <w:p>
      <w:pPr>
        <w:pStyle w:val="Heading2"/>
        <w:rPr/>
      </w:pPr>
      <w:bookmarkStart w:id="101" w:name="figure-s3"/>
      <w:r>
        <w:rPr/>
        <w:t>13.3 Figure S3</w:t>
      </w:r>
    </w:p>
    <w:p>
      <w:pPr>
        <w:pStyle w:val="CaptionedFigure"/>
        <w:rPr/>
      </w:pPr>
      <w:r>
        <w:rPr/>
        <w:drawing>
          <wp:inline distT="0" distB="0" distL="0" distR="0">
            <wp:extent cx="5544185" cy="5544185"/>
            <wp:effectExtent l="0" t="0" r="0" b="0"/>
            <wp:docPr id="9" name="Image9" descr="Comparison of log-transformed leaf mass per area (LMA) by species and elevation category. A) Compares logLMA means by species and elevation category: LOW (&lt;1220 m), MID (1221 - 1828 m), HIGH (&gt; 1829 m). The black line across violins represents the mean value. B) Change in logLMA per species as elevation increases. The black trend line represents the fitted model for all data points, see main text for R squared and p values. Significance levels are represented by ns (not significant) and asterisks [p &lt; 0.05 (*), p &lt; 0.01 (*), p* &lt; 0.001 (*), and p &lt; 0.0001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9" descr="Comparison of log-transformed leaf mass per area (LMA) by species and elevation category. A) Compares logLMA means by species and elevation category: LOW (&lt;1220 m), MID (1221 - 1828 m), HIGH (&gt; 1829 m). The black line across violins represents the mean value. B) Change in logLMA per species as elevation increases. The black trend line represents the fitted model for all data points, see main text for R squared and p values. Significance levels are represented by ns (not significant) and asterisks [p &lt; 0.05 (*), p &lt; 0.01 (*), p* &lt; 0.001 (*), and p &lt; 0.0001 (**)]."/>
                    <pic:cNvPicPr>
                      <a:picLocks noChangeAspect="1" noChangeArrowheads="1"/>
                    </pic:cNvPicPr>
                  </pic:nvPicPr>
                  <pic:blipFill>
                    <a:blip r:embed="rId68"/>
                    <a:stretch>
                      <a:fillRect/>
                    </a:stretch>
                  </pic:blipFill>
                  <pic:spPr bwMode="auto">
                    <a:xfrm>
                      <a:off x="0" y="0"/>
                      <a:ext cx="5544185" cy="5544185"/>
                    </a:xfrm>
                    <a:prstGeom prst="rect">
                      <a:avLst/>
                    </a:prstGeom>
                  </pic:spPr>
                </pic:pic>
              </a:graphicData>
            </a:graphic>
          </wp:inline>
        </w:drawing>
      </w:r>
    </w:p>
    <w:p>
      <w:pPr>
        <w:pStyle w:val="ImageCaption"/>
        <w:rPr/>
      </w:pPr>
      <w:r>
        <w:rPr/>
        <w:t xml:space="preserve">Comparison of log-transformed leaf mass per area (LMA) by species and elevation category. A) Compares logLMA means by species and elevation category: LOW (&lt;1220 m), MID (1221 - 1828 m), HIGH (&gt; 1829 m). The black line across violins represents the mean value. B) Change in logLMA per species as elevation increases. The black trend line represents the fitted model for all data points, see main text for R squared and </w:t>
      </w:r>
      <w:r>
        <w:rPr>
          <w:i/>
          <w:iCs/>
        </w:rPr>
        <w:t>p</w:t>
      </w:r>
      <w:r>
        <w:rPr/>
        <w:t xml:space="preserve"> values. Significance levels are represented by </w:t>
      </w:r>
      <w:r>
        <w:rPr>
          <w:i/>
          <w:iCs/>
        </w:rPr>
        <w:t>ns</w:t>
      </w:r>
      <w:r>
        <w:rPr/>
        <w:t xml:space="preserve"> (not significant) and asterisks [</w:t>
      </w:r>
      <w:r>
        <w:rPr>
          <w:i/>
          <w:iCs/>
        </w:rPr>
        <w:t>p</w:t>
      </w:r>
      <w:r>
        <w:rPr/>
        <w:t xml:space="preserve"> &lt; 0.05 (*), </w:t>
      </w:r>
      <w:r>
        <w:rPr>
          <w:i/>
          <w:iCs/>
        </w:rPr>
        <w:t>p</w:t>
      </w:r>
      <w:r>
        <w:rPr/>
        <w:t xml:space="preserve"> &lt; 0.01 (*</w:t>
      </w:r>
      <w:r>
        <w:rPr>
          <w:i/>
          <w:iCs/>
        </w:rPr>
        <w:t>*),</w:t>
      </w:r>
      <w:r>
        <w:rPr/>
        <w:t xml:space="preserve"> p &lt; 0.001 (*</w:t>
      </w:r>
      <w:r>
        <w:rPr>
          <w:b/>
          <w:bCs/>
        </w:rPr>
        <w:t>**), an</w:t>
      </w:r>
      <w:r>
        <w:rPr>
          <w:b/>
          <w:bCs/>
          <w:i/>
          <w:iCs/>
        </w:rPr>
        <w:t>d</w:t>
      </w:r>
      <w:r>
        <w:rPr>
          <w:b/>
          <w:bCs/>
        </w:rPr>
        <w:t xml:space="preserve"> p &lt; 0.0001 </w:t>
      </w:r>
      <w:r>
        <w:rPr/>
        <w:t>(****)].</w:t>
      </w:r>
      <w:bookmarkEnd w:id="101"/>
    </w:p>
    <w:p>
      <w:pPr>
        <w:pStyle w:val="Heading2"/>
        <w:rPr/>
      </w:pPr>
      <w:bookmarkStart w:id="102" w:name="figure-s4"/>
      <w:r>
        <w:rPr/>
        <w:t>13.4 Figure S4</w:t>
      </w:r>
    </w:p>
    <w:p>
      <w:pPr>
        <w:pStyle w:val="CaptionedFigure"/>
        <w:rPr/>
      </w:pPr>
      <w:r>
        <w:rPr/>
        <w:drawing>
          <wp:inline distT="0" distB="0" distL="0" distR="0">
            <wp:extent cx="5544185" cy="4620260"/>
            <wp:effectExtent l="0" t="0" r="0" b="0"/>
            <wp:docPr id="10" name="Image10" descr="Change in log-transformed anthocyanin content index (ACI) by species and elevation category. A) Compares logACI means by species and elevation category: LOW (&lt;1220 m), MID (1221 - 1828 m), HIGH (&gt; 1829 m). The black line across violins represents the mean value. B) Change in logLPS per species as elevation increases. The black trend line represents the fitted model for all data points, see main text for R squared and p values. Significance levels are represented by ns (not significant) and asterisks [p &lt; 0.05 (*), p &lt; 0.01 (*), p* &lt; 0.001 (*), and p &lt; 0.0001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0" descr="Change in log-transformed anthocyanin content index (ACI) by species and elevation category. A) Compares logACI means by species and elevation category: LOW (&lt;1220 m), MID (1221 - 1828 m), HIGH (&gt; 1829 m). The black line across violins represents the mean value. B) Change in logLPS per species as elevation increases. The black trend line represents the fitted model for all data points, see main text for R squared and p values. Significance levels are represented by ns (not significant) and asterisks [p &lt; 0.05 (*), p &lt; 0.01 (*), p* &lt; 0.001 (*), and p &lt; 0.0001 (**)]."/>
                    <pic:cNvPicPr>
                      <a:picLocks noChangeAspect="1" noChangeArrowheads="1"/>
                    </pic:cNvPicPr>
                  </pic:nvPicPr>
                  <pic:blipFill>
                    <a:blip r:embed="rId69"/>
                    <a:stretch>
                      <a:fillRect/>
                    </a:stretch>
                  </pic:blipFill>
                  <pic:spPr bwMode="auto">
                    <a:xfrm>
                      <a:off x="0" y="0"/>
                      <a:ext cx="5544185" cy="4620260"/>
                    </a:xfrm>
                    <a:prstGeom prst="rect">
                      <a:avLst/>
                    </a:prstGeom>
                  </pic:spPr>
                </pic:pic>
              </a:graphicData>
            </a:graphic>
          </wp:inline>
        </w:drawing>
      </w:r>
    </w:p>
    <w:p>
      <w:pPr>
        <w:pStyle w:val="ImageCaption"/>
        <w:rPr/>
      </w:pPr>
      <w:r>
        <w:rPr/>
        <w:t xml:space="preserve">Change in log-transformed anthocyanin content index (ACI) by species and elevation category. A) Compares logACI means by species and elevation category: LOW (&lt;1220 m), MID (1221 - 1828 m), HIGH (&gt; 1829 m). The black line across violins represents the mean value. B) Change in logLPS per species as elevation increases. The black trend line represents the fitted model for all data points, see main text for R squared and </w:t>
      </w:r>
      <w:r>
        <w:rPr>
          <w:i/>
          <w:iCs/>
        </w:rPr>
        <w:t>p</w:t>
      </w:r>
      <w:r>
        <w:rPr/>
        <w:t xml:space="preserve"> values. Significance levels are represented by </w:t>
      </w:r>
      <w:r>
        <w:rPr>
          <w:i/>
          <w:iCs/>
        </w:rPr>
        <w:t>ns</w:t>
      </w:r>
      <w:r>
        <w:rPr/>
        <w:t xml:space="preserve"> (not significant) and asterisks [</w:t>
      </w:r>
      <w:r>
        <w:rPr>
          <w:i/>
          <w:iCs/>
        </w:rPr>
        <w:t>p</w:t>
      </w:r>
      <w:r>
        <w:rPr/>
        <w:t xml:space="preserve"> &lt; 0.05 (*), </w:t>
      </w:r>
      <w:r>
        <w:rPr>
          <w:i/>
          <w:iCs/>
        </w:rPr>
        <w:t>p</w:t>
      </w:r>
      <w:r>
        <w:rPr/>
        <w:t xml:space="preserve"> &lt; 0.01 (*</w:t>
      </w:r>
      <w:r>
        <w:rPr>
          <w:i/>
          <w:iCs/>
        </w:rPr>
        <w:t>*),</w:t>
      </w:r>
      <w:r>
        <w:rPr/>
        <w:t xml:space="preserve"> p &lt; 0.001 (*</w:t>
      </w:r>
      <w:r>
        <w:rPr>
          <w:b/>
          <w:bCs/>
        </w:rPr>
        <w:t xml:space="preserve">**), </w:t>
      </w:r>
      <w:r>
        <w:rPr>
          <w:b w:val="false"/>
          <w:bCs w:val="false"/>
        </w:rPr>
        <w:t xml:space="preserve">and </w:t>
      </w:r>
      <w:r>
        <w:rPr>
          <w:b w:val="false"/>
          <w:bCs w:val="false"/>
          <w:i/>
          <w:iCs/>
        </w:rPr>
        <w:t>p</w:t>
      </w:r>
      <w:r>
        <w:rPr>
          <w:b w:val="false"/>
          <w:bCs w:val="false"/>
        </w:rPr>
        <w:t xml:space="preserve"> &lt; 0.0001 </w:t>
      </w:r>
      <w:r>
        <w:rPr/>
        <w:t>(****)].</w:t>
      </w:r>
      <w:bookmarkEnd w:id="102"/>
    </w:p>
    <w:p>
      <w:pPr>
        <w:pStyle w:val="Heading2"/>
        <w:rPr/>
      </w:pPr>
      <w:bookmarkStart w:id="103" w:name="figure-s5"/>
      <w:r>
        <w:rPr/>
        <w:t>13.5 Figure S5</w:t>
      </w:r>
    </w:p>
    <w:p>
      <w:pPr>
        <w:pStyle w:val="CaptionedFigure"/>
        <w:rPr/>
      </w:pPr>
      <w:r>
        <w:rPr/>
        <w:drawing>
          <wp:inline distT="0" distB="0" distL="0" distR="0">
            <wp:extent cx="5544185" cy="5544185"/>
            <wp:effectExtent l="0" t="0" r="0" b="0"/>
            <wp:docPr id="11" name="Image11" descr="Change in log-transformed leaf lobe index (LBI) by species and elevation category. A) Compares logLBI means by species and elevation category: LOW (&lt;1220 m), MID (1221 - 1828 m), HIGH (&gt; 1829 m). The black line across violins represents the mean value. B) Change in logLPS per species as elevation increases. The black trend line represents the fitted model for all data points, see main text for R squared and p values. Significance levels are represented by ns (not significant) and asterisks [p &lt; 0.05 (*), p &lt; 0.01 (*), p* &lt; 0.001 (*), and p &lt; 0.0001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1" descr="Change in log-transformed leaf lobe index (LBI) by species and elevation category. A) Compares logLBI means by species and elevation category: LOW (&lt;1220 m), MID (1221 - 1828 m), HIGH (&gt; 1829 m). The black line across violins represents the mean value. B) Change in logLPS per species as elevation increases. The black trend line represents the fitted model for all data points, see main text for R squared and p values. Significance levels are represented by ns (not significant) and asterisks [p &lt; 0.05 (*), p &lt; 0.01 (*), p* &lt; 0.001 (*), and p &lt; 0.0001 (**)]."/>
                    <pic:cNvPicPr>
                      <a:picLocks noChangeAspect="1" noChangeArrowheads="1"/>
                    </pic:cNvPicPr>
                  </pic:nvPicPr>
                  <pic:blipFill>
                    <a:blip r:embed="rId70"/>
                    <a:stretch>
                      <a:fillRect/>
                    </a:stretch>
                  </pic:blipFill>
                  <pic:spPr bwMode="auto">
                    <a:xfrm>
                      <a:off x="0" y="0"/>
                      <a:ext cx="5544185" cy="5544185"/>
                    </a:xfrm>
                    <a:prstGeom prst="rect">
                      <a:avLst/>
                    </a:prstGeom>
                  </pic:spPr>
                </pic:pic>
              </a:graphicData>
            </a:graphic>
          </wp:inline>
        </w:drawing>
      </w:r>
    </w:p>
    <w:p>
      <w:pPr>
        <w:pStyle w:val="ImageCaption"/>
        <w:rPr/>
      </w:pPr>
      <w:r>
        <w:rPr/>
        <w:t xml:space="preserve">Change in log-transformed leaf lobe index (LBI) by species and elevation category. A) Compares logLBI means by species and elevation category: LOW (&lt;1220 m), MID (1221 - 1828 m), HIGH (&gt; 1829 m). The black line across violins represents the mean value. B) Change in logLPS per species as elevation increases. The black trend line represents the fitted model for all data points, see main text for R squared and </w:t>
      </w:r>
      <w:r>
        <w:rPr>
          <w:i/>
          <w:iCs/>
        </w:rPr>
        <w:t>p</w:t>
      </w:r>
      <w:r>
        <w:rPr/>
        <w:t xml:space="preserve"> values. Significance levels are represented by </w:t>
      </w:r>
      <w:r>
        <w:rPr>
          <w:i/>
          <w:iCs/>
        </w:rPr>
        <w:t>ns</w:t>
      </w:r>
      <w:r>
        <w:rPr/>
        <w:t xml:space="preserve"> (not significant) and asterisks [</w:t>
      </w:r>
      <w:r>
        <w:rPr>
          <w:i/>
          <w:iCs/>
        </w:rPr>
        <w:t>p</w:t>
      </w:r>
      <w:r>
        <w:rPr/>
        <w:t xml:space="preserve"> &lt; 0.05 (*), </w:t>
      </w:r>
      <w:r>
        <w:rPr>
          <w:i/>
          <w:iCs/>
        </w:rPr>
        <w:t>p</w:t>
      </w:r>
      <w:r>
        <w:rPr/>
        <w:t xml:space="preserve"> &lt; 0.01 (*</w:t>
      </w:r>
      <w:r>
        <w:rPr/>
        <w:t>*</w:t>
      </w:r>
      <w:r>
        <w:rPr>
          <w:i/>
          <w:iCs/>
        </w:rPr>
        <w:t xml:space="preserve">), </w:t>
      </w:r>
      <w:r>
        <w:rPr>
          <w:i/>
          <w:iCs/>
        </w:rPr>
        <w:t>p</w:t>
      </w:r>
      <w:r>
        <w:rPr/>
        <w:t xml:space="preserve"> &lt; 0.001 (</w:t>
      </w:r>
      <w:r>
        <w:rPr/>
        <w:t>**</w:t>
      </w:r>
      <w:r>
        <w:rPr/>
        <w:t>*</w:t>
      </w:r>
      <w:r>
        <w:rPr>
          <w:b/>
          <w:bCs/>
        </w:rPr>
        <w:t>)</w:t>
      </w:r>
      <w:r>
        <w:rPr>
          <w:b w:val="false"/>
          <w:bCs w:val="false"/>
        </w:rPr>
        <w:t xml:space="preserve">, and </w:t>
      </w:r>
      <w:r>
        <w:rPr>
          <w:b w:val="false"/>
          <w:bCs w:val="false"/>
          <w:i/>
          <w:iCs/>
        </w:rPr>
        <w:t>p</w:t>
      </w:r>
      <w:r>
        <w:rPr>
          <w:b w:val="false"/>
          <w:bCs w:val="false"/>
        </w:rPr>
        <w:t xml:space="preserve"> &lt; 0.0001 (*</w:t>
      </w:r>
      <w:r>
        <w:rPr>
          <w:b w:val="false"/>
          <w:bCs w:val="false"/>
        </w:rPr>
        <w:t>**</w:t>
      </w:r>
      <w:r>
        <w:rPr>
          <w:b w:val="false"/>
          <w:bCs w:val="false"/>
        </w:rPr>
        <w:t>*)</w:t>
      </w:r>
      <w:r>
        <w:rPr/>
        <w:t>].</w:t>
      </w:r>
      <w:bookmarkEnd w:id="103"/>
    </w:p>
    <w:p>
      <w:pPr>
        <w:pStyle w:val="Heading2"/>
        <w:rPr/>
      </w:pPr>
      <w:bookmarkStart w:id="104" w:name="figure-s6"/>
      <w:r>
        <w:rPr/>
        <w:t>13.6 Figure S6</w:t>
      </w:r>
    </w:p>
    <w:p>
      <w:pPr>
        <w:pStyle w:val="CaptionedFigure"/>
        <w:rPr/>
      </w:pPr>
      <w:r>
        <w:rPr/>
        <w:drawing>
          <wp:inline distT="0" distB="0" distL="0" distR="0">
            <wp:extent cx="5544185" cy="5544185"/>
            <wp:effectExtent l="0" t="0" r="0" b="0"/>
            <wp:docPr id="12" name="Image12" descr="Change in log-transformed leaf-punch strength (LPS), a measure of leaf toughness, by species and elevation category. A) Compares logLPS means by species and elevation category: LOW (&lt;1220 m), MID (1221 - 1828 m), HIGH (&gt; 1829 m). The black line across violins represents the mean value. B) Change in logLPS per species as elevation increases. The black trend line represents the fitted model for all data points, see main text for R squared and p values. Significance levels are represented by ns (not significant) and asterisks [p &lt; 0.05 (*), p &lt; 0.01 (*), p* &lt; 0.001 (*), and p &lt; 0.0001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2" descr="Change in log-transformed leaf-punch strength (LPS), a measure of leaf toughness, by species and elevation category. A) Compares logLPS means by species and elevation category: LOW (&lt;1220 m), MID (1221 - 1828 m), HIGH (&gt; 1829 m). The black line across violins represents the mean value. B) Change in logLPS per species as elevation increases. The black trend line represents the fitted model for all data points, see main text for R squared and p values. Significance levels are represented by ns (not significant) and asterisks [p &lt; 0.05 (*), p &lt; 0.01 (*), p* &lt; 0.001 (*), and p &lt; 0.0001 (**)]."/>
                    <pic:cNvPicPr>
                      <a:picLocks noChangeAspect="1" noChangeArrowheads="1"/>
                    </pic:cNvPicPr>
                  </pic:nvPicPr>
                  <pic:blipFill>
                    <a:blip r:embed="rId71"/>
                    <a:stretch>
                      <a:fillRect/>
                    </a:stretch>
                  </pic:blipFill>
                  <pic:spPr bwMode="auto">
                    <a:xfrm>
                      <a:off x="0" y="0"/>
                      <a:ext cx="5544185" cy="5544185"/>
                    </a:xfrm>
                    <a:prstGeom prst="rect">
                      <a:avLst/>
                    </a:prstGeom>
                  </pic:spPr>
                </pic:pic>
              </a:graphicData>
            </a:graphic>
          </wp:inline>
        </w:drawing>
      </w:r>
    </w:p>
    <w:p>
      <w:pPr>
        <w:pStyle w:val="ImageCaption"/>
        <w:rPr/>
      </w:pPr>
      <w:r>
        <w:rPr/>
        <w:t xml:space="preserve">Change in log-transformed leaf-punch strength (LPS), a measure of leaf toughness, by species and elevation category. A) Compares logLPS means by species and elevation category: LOW (&lt;1220 m), MID (1221 - 1828 m), HIGH (&gt; 1829 m). The black line across violins represents the mean value. B) Change in logLPS per species as elevation increases. The black trend line represents the fitted model for all data points, see main text for R squared and </w:t>
      </w:r>
      <w:r>
        <w:rPr>
          <w:i/>
          <w:iCs/>
        </w:rPr>
        <w:t>p</w:t>
      </w:r>
      <w:r>
        <w:rPr/>
        <w:t xml:space="preserve"> values. Significance levels are represented by </w:t>
      </w:r>
      <w:r>
        <w:rPr>
          <w:i/>
          <w:iCs/>
        </w:rPr>
        <w:t>ns</w:t>
      </w:r>
      <w:r>
        <w:rPr/>
        <w:t xml:space="preserve"> (not significant) and asterisks [</w:t>
      </w:r>
      <w:r>
        <w:rPr>
          <w:i/>
          <w:iCs/>
        </w:rPr>
        <w:t>p</w:t>
      </w:r>
      <w:r>
        <w:rPr/>
        <w:t xml:space="preserve"> &lt; 0.05 (*), </w:t>
      </w:r>
      <w:r>
        <w:rPr>
          <w:i/>
          <w:iCs/>
        </w:rPr>
        <w:t>p</w:t>
      </w:r>
      <w:r>
        <w:rPr/>
        <w:t xml:space="preserve"> &lt; 0.01 (*</w:t>
      </w:r>
      <w:r>
        <w:rPr>
          <w:i/>
          <w:iCs/>
        </w:rPr>
        <w:t>*),</w:t>
      </w:r>
      <w:r>
        <w:rPr/>
        <w:t xml:space="preserve"> p &lt; 0.001 (*</w:t>
      </w:r>
      <w:r>
        <w:rPr>
          <w:b/>
          <w:bCs/>
        </w:rPr>
        <w:t>**)</w:t>
      </w:r>
      <w:r>
        <w:rPr>
          <w:b w:val="false"/>
          <w:bCs w:val="false"/>
        </w:rPr>
        <w:t>, a</w:t>
      </w:r>
      <w:r>
        <w:rPr>
          <w:b w:val="false"/>
          <w:bCs w:val="false"/>
        </w:rPr>
        <w:t>nd</w:t>
      </w:r>
      <w:r>
        <w:rPr>
          <w:b w:val="false"/>
          <w:bCs w:val="false"/>
        </w:rPr>
        <w:t xml:space="preserve"> </w:t>
      </w:r>
      <w:r>
        <w:rPr>
          <w:b w:val="false"/>
          <w:bCs w:val="false"/>
          <w:i/>
          <w:iCs/>
        </w:rPr>
        <w:t>p</w:t>
      </w:r>
      <w:r>
        <w:rPr>
          <w:b w:val="false"/>
          <w:bCs w:val="false"/>
        </w:rPr>
        <w:t xml:space="preserve"> &lt; 0.0001 (</w:t>
      </w:r>
      <w:r>
        <w:rPr/>
        <w:t>****)].</w:t>
      </w:r>
      <w:bookmarkEnd w:id="104"/>
    </w:p>
    <w:p>
      <w:pPr>
        <w:pStyle w:val="Heading2"/>
        <w:rPr/>
      </w:pPr>
      <w:bookmarkStart w:id="105" w:name="figure-s7"/>
      <w:r>
        <w:rPr/>
        <w:t>13.7 Figure S7</w:t>
      </w:r>
    </w:p>
    <w:p>
      <w:pPr>
        <w:pStyle w:val="CaptionedFigure"/>
        <w:rPr/>
      </w:pPr>
      <w:r>
        <w:rPr/>
        <w:drawing>
          <wp:inline distT="0" distB="0" distL="0" distR="0">
            <wp:extent cx="5544185" cy="5544185"/>
            <wp:effectExtent l="0" t="0" r="0" b="0"/>
            <wp:docPr id="13" name="Image13" descr="Change in log-transformed leaf thickness (LT) (𝜇m) by species and elevation category. A) Compares logLT means by species and elevation category: LOW (&lt;1220 m), MID (1221 - 1828 m), HIGH (&gt; 1829 m). The black line across violins represents the mean value. B) Change in logLT per species as elevation increases. The black trend line represents the fitted model for all data points, see main text for R squared and p values. Significance levels are represented by ns (not significant) and asterisks [p &lt; 0.05 (*), p &lt; 0.01 (*), p* &lt; 0.001 (*), and p &lt; 0.0001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3" descr="Change in log-transformed leaf thickness (LT) (𝜇m) by species and elevation category. A) Compares logLT means by species and elevation category: LOW (&lt;1220 m), MID (1221 - 1828 m), HIGH (&gt; 1829 m). The black line across violins represents the mean value. B) Change in logLT per species as elevation increases. The black trend line represents the fitted model for all data points, see main text for R squared and p values. Significance levels are represented by ns (not significant) and asterisks [p &lt; 0.05 (*), p &lt; 0.01 (*), p* &lt; 0.001 (*), and p &lt; 0.0001 (**)]."/>
                    <pic:cNvPicPr>
                      <a:picLocks noChangeAspect="1" noChangeArrowheads="1"/>
                    </pic:cNvPicPr>
                  </pic:nvPicPr>
                  <pic:blipFill>
                    <a:blip r:embed="rId72"/>
                    <a:stretch>
                      <a:fillRect/>
                    </a:stretch>
                  </pic:blipFill>
                  <pic:spPr bwMode="auto">
                    <a:xfrm>
                      <a:off x="0" y="0"/>
                      <a:ext cx="5544185" cy="5544185"/>
                    </a:xfrm>
                    <a:prstGeom prst="rect">
                      <a:avLst/>
                    </a:prstGeom>
                  </pic:spPr>
                </pic:pic>
              </a:graphicData>
            </a:graphic>
          </wp:inline>
        </w:drawing>
      </w:r>
    </w:p>
    <w:p>
      <w:pPr>
        <w:pStyle w:val="ImageCaption"/>
        <w:rPr/>
      </w:pPr>
      <w:r>
        <w:rPr/>
        <w:t xml:space="preserve">Change in log-transformed leaf thickness (LT) (𝜇m) by species and elevation category. A) Compares logLT means by species and elevation category: LOW (&lt;1220 m), MID (1221 - 1828 m), HIGH (&gt; 1829 m). The black line across violins represents the mean value. B) Change in logLT per species as elevation increases. The black trend line represents the fitted model for all data points, see main text for R squared and </w:t>
      </w:r>
      <w:r>
        <w:rPr>
          <w:i/>
          <w:iCs/>
        </w:rPr>
        <w:t>p</w:t>
      </w:r>
      <w:r>
        <w:rPr/>
        <w:t xml:space="preserve"> values. Significance levels are represented by </w:t>
      </w:r>
      <w:r>
        <w:rPr>
          <w:i/>
          <w:iCs/>
        </w:rPr>
        <w:t>ns</w:t>
      </w:r>
      <w:r>
        <w:rPr/>
        <w:t xml:space="preserve"> (not significant) and asterisks [</w:t>
      </w:r>
      <w:r>
        <w:rPr>
          <w:i/>
          <w:iCs/>
        </w:rPr>
        <w:t>p</w:t>
      </w:r>
      <w:r>
        <w:rPr/>
        <w:t xml:space="preserve"> &lt; 0.05 (*), </w:t>
      </w:r>
      <w:r>
        <w:rPr>
          <w:i/>
          <w:iCs/>
        </w:rPr>
        <w:t>p</w:t>
      </w:r>
      <w:r>
        <w:rPr/>
        <w:t xml:space="preserve"> &lt; 0.01 (*</w:t>
      </w:r>
      <w:r>
        <w:rPr>
          <w:i/>
          <w:iCs/>
        </w:rPr>
        <w:t>*),</w:t>
      </w:r>
      <w:r>
        <w:rPr/>
        <w:t xml:space="preserve"> p &lt; 0.001 (*</w:t>
      </w:r>
      <w:r>
        <w:rPr>
          <w:b/>
          <w:bCs/>
        </w:rPr>
        <w:t>**)</w:t>
      </w:r>
      <w:r>
        <w:rPr>
          <w:b w:val="false"/>
          <w:bCs w:val="false"/>
          <w:i w:val="false"/>
          <w:iCs w:val="false"/>
        </w:rPr>
        <w:t xml:space="preserve">, and </w:t>
      </w:r>
      <w:r>
        <w:rPr>
          <w:b w:val="false"/>
          <w:bCs w:val="false"/>
          <w:i/>
          <w:iCs/>
        </w:rPr>
        <w:t xml:space="preserve">p </w:t>
      </w:r>
      <w:r>
        <w:rPr>
          <w:b w:val="false"/>
          <w:bCs w:val="false"/>
          <w:i w:val="false"/>
          <w:iCs w:val="false"/>
        </w:rPr>
        <w:t>&lt; 0.0001</w:t>
      </w:r>
      <w:r>
        <w:rPr>
          <w:b/>
          <w:bCs/>
        </w:rPr>
        <w:t xml:space="preserve"> </w:t>
      </w:r>
      <w:r>
        <w:rPr/>
        <w:t>(****)].</w:t>
      </w:r>
      <w:bookmarkEnd w:id="105"/>
    </w:p>
    <w:p>
      <w:pPr>
        <w:pStyle w:val="Heading2"/>
        <w:rPr/>
      </w:pPr>
      <w:r>
        <w:rPr/>
        <w:t>13.8 Table 1</w:t>
      </w:r>
    </w:p>
    <w:p>
      <w:pPr>
        <w:pStyle w:val="TableCaption"/>
        <w:rPr/>
      </w:pPr>
      <w:r>
        <w:rPr/>
        <w:t xml:space="preserve">Table 1: Number of </w:t>
      </w:r>
      <w:r>
        <w:rPr/>
        <w:t>individual collected</w:t>
      </w:r>
      <w:r>
        <w:rPr/>
        <w:t xml:space="preserve"> per population/site and species.</w:t>
      </w:r>
    </w:p>
    <w:tbl>
      <w:tblPr>
        <w:tblStyle w:val="Table"/>
        <w:tblW w:w="8655" w:type="dxa"/>
        <w:jc w:val="left"/>
        <w:tblInd w:w="0" w:type="dxa"/>
        <w:tblLayout w:type="fixed"/>
        <w:tblCellMar>
          <w:top w:w="0" w:type="dxa"/>
          <w:left w:w="108" w:type="dxa"/>
          <w:bottom w:w="0" w:type="dxa"/>
          <w:right w:w="108" w:type="dxa"/>
        </w:tblCellMar>
        <w:tblLook w:val="0020" w:noHBand="0" w:noVBand="0" w:firstColumn="0" w:lastRow="0" w:lastColumn="0" w:firstRow="1"/>
      </w:tblPr>
      <w:tblGrid>
        <w:gridCol w:w="1320"/>
        <w:gridCol w:w="1319"/>
        <w:gridCol w:w="1321"/>
        <w:gridCol w:w="1545"/>
        <w:gridCol w:w="1530"/>
        <w:gridCol w:w="1620"/>
      </w:tblGrid>
      <w:tr>
        <w:trPr>
          <w:tblHeader w:val="true"/>
        </w:trPr>
        <w:tc>
          <w:tcPr>
            <w:tcW w:w="1320" w:type="dxa"/>
            <w:tcBorders>
              <w:bottom w:val="single" w:sz="6" w:space="0" w:color="000000"/>
            </w:tcBorders>
            <w:vAlign w:val="bottom"/>
          </w:tcPr>
          <w:p>
            <w:pPr>
              <w:pStyle w:val="Compact"/>
              <w:spacing w:before="36" w:after="36"/>
              <w:jc w:val="left"/>
              <w:rPr/>
            </w:pPr>
            <w:r>
              <w:rPr/>
              <w:t>Site</w:t>
            </w:r>
          </w:p>
        </w:tc>
        <w:tc>
          <w:tcPr>
            <w:tcW w:w="1319" w:type="dxa"/>
            <w:tcBorders>
              <w:bottom w:val="single" w:sz="6" w:space="0" w:color="000000"/>
            </w:tcBorders>
            <w:vAlign w:val="bottom"/>
          </w:tcPr>
          <w:p>
            <w:pPr>
              <w:pStyle w:val="Compact"/>
              <w:spacing w:before="36" w:after="36"/>
              <w:jc w:val="right"/>
              <w:rPr/>
            </w:pPr>
            <w:r>
              <w:rPr/>
              <w:t>Longitude</w:t>
            </w:r>
          </w:p>
        </w:tc>
        <w:tc>
          <w:tcPr>
            <w:tcW w:w="1321" w:type="dxa"/>
            <w:tcBorders>
              <w:bottom w:val="single" w:sz="6" w:space="0" w:color="000000"/>
            </w:tcBorders>
            <w:vAlign w:val="bottom"/>
          </w:tcPr>
          <w:p>
            <w:pPr>
              <w:pStyle w:val="Compact"/>
              <w:spacing w:before="36" w:after="36"/>
              <w:jc w:val="right"/>
              <w:rPr/>
            </w:pPr>
            <w:r>
              <w:rPr/>
              <w:t>Latitude</w:t>
            </w:r>
          </w:p>
        </w:tc>
        <w:tc>
          <w:tcPr>
            <w:tcW w:w="1545" w:type="dxa"/>
            <w:tcBorders>
              <w:bottom w:val="single" w:sz="6" w:space="0" w:color="000000"/>
            </w:tcBorders>
            <w:vAlign w:val="bottom"/>
          </w:tcPr>
          <w:p>
            <w:pPr>
              <w:pStyle w:val="Compact"/>
              <w:spacing w:before="36" w:after="36"/>
              <w:jc w:val="right"/>
              <w:rPr>
                <w:i/>
                <w:i/>
                <w:iCs/>
              </w:rPr>
            </w:pPr>
            <w:r>
              <w:rPr>
                <w:i/>
                <w:iCs/>
              </w:rPr>
              <w:t>M. laciniatus</w:t>
            </w:r>
          </w:p>
        </w:tc>
        <w:tc>
          <w:tcPr>
            <w:tcW w:w="1530" w:type="dxa"/>
            <w:tcBorders>
              <w:bottom w:val="single" w:sz="6" w:space="0" w:color="000000"/>
            </w:tcBorders>
            <w:vAlign w:val="bottom"/>
          </w:tcPr>
          <w:p>
            <w:pPr>
              <w:pStyle w:val="Compact"/>
              <w:spacing w:before="36" w:after="36"/>
              <w:jc w:val="right"/>
              <w:rPr>
                <w:i/>
                <w:i/>
                <w:iCs/>
              </w:rPr>
            </w:pPr>
            <w:r>
              <w:rPr>
                <w:i/>
                <w:iCs/>
              </w:rPr>
              <w:t>M. nasutus</w:t>
            </w:r>
          </w:p>
        </w:tc>
        <w:tc>
          <w:tcPr>
            <w:tcW w:w="1620" w:type="dxa"/>
            <w:tcBorders>
              <w:bottom w:val="single" w:sz="6" w:space="0" w:color="000000"/>
            </w:tcBorders>
            <w:vAlign w:val="bottom"/>
          </w:tcPr>
          <w:p>
            <w:pPr>
              <w:pStyle w:val="Compact"/>
              <w:spacing w:before="36" w:after="36"/>
              <w:jc w:val="right"/>
              <w:rPr>
                <w:i/>
                <w:i/>
                <w:iCs/>
              </w:rPr>
            </w:pPr>
            <w:r>
              <w:rPr>
                <w:i/>
                <w:iCs/>
              </w:rPr>
              <w:t>M. guttatus</w:t>
            </w:r>
          </w:p>
        </w:tc>
      </w:tr>
      <w:tr>
        <w:trPr/>
        <w:tc>
          <w:tcPr>
            <w:tcW w:w="1320" w:type="dxa"/>
            <w:tcBorders/>
          </w:tcPr>
          <w:p>
            <w:pPr>
              <w:pStyle w:val="Compact"/>
              <w:spacing w:before="36" w:after="36"/>
              <w:jc w:val="left"/>
              <w:rPr/>
            </w:pPr>
            <w:r>
              <w:rPr/>
              <w:t>AGFB</w:t>
            </w:r>
          </w:p>
        </w:tc>
        <w:tc>
          <w:tcPr>
            <w:tcW w:w="1319" w:type="dxa"/>
            <w:tcBorders/>
          </w:tcPr>
          <w:p>
            <w:pPr>
              <w:pStyle w:val="Compact"/>
              <w:spacing w:before="36" w:after="36"/>
              <w:jc w:val="right"/>
              <w:rPr/>
            </w:pPr>
            <w:r>
              <w:rPr/>
              <w:t>-119.5707</w:t>
            </w:r>
          </w:p>
        </w:tc>
        <w:tc>
          <w:tcPr>
            <w:tcW w:w="1321" w:type="dxa"/>
            <w:tcBorders/>
          </w:tcPr>
          <w:p>
            <w:pPr>
              <w:pStyle w:val="Compact"/>
              <w:spacing w:before="36" w:after="36"/>
              <w:jc w:val="right"/>
              <w:rPr/>
            </w:pPr>
            <w:r>
              <w:rPr/>
              <w:t>37.33823</w:t>
            </w:r>
          </w:p>
        </w:tc>
        <w:tc>
          <w:tcPr>
            <w:tcW w:w="1545" w:type="dxa"/>
            <w:tcBorders/>
          </w:tcPr>
          <w:p>
            <w:pPr>
              <w:pStyle w:val="Compact"/>
              <w:spacing w:before="36" w:after="36"/>
              <w:jc w:val="right"/>
              <w:rPr/>
            </w:pPr>
            <w:r>
              <w:rPr/>
              <w:t>11</w:t>
            </w:r>
          </w:p>
        </w:tc>
        <w:tc>
          <w:tcPr>
            <w:tcW w:w="1530" w:type="dxa"/>
            <w:tcBorders/>
          </w:tcPr>
          <w:p>
            <w:pPr>
              <w:pStyle w:val="Compact"/>
              <w:spacing w:before="36" w:after="36"/>
              <w:jc w:val="right"/>
              <w:rPr/>
            </w:pPr>
            <w:r>
              <w:rPr/>
              <w:t>10</w:t>
            </w:r>
          </w:p>
        </w:tc>
        <w:tc>
          <w:tcPr>
            <w:tcW w:w="1620" w:type="dxa"/>
            <w:tcBorders/>
          </w:tcPr>
          <w:p>
            <w:pPr>
              <w:pStyle w:val="Compact"/>
              <w:spacing w:before="36" w:after="36"/>
              <w:jc w:val="right"/>
              <w:rPr/>
            </w:pPr>
            <w:r>
              <w:rPr/>
              <w:t>NA</w:t>
            </w:r>
          </w:p>
        </w:tc>
      </w:tr>
      <w:tr>
        <w:trPr/>
        <w:tc>
          <w:tcPr>
            <w:tcW w:w="1320" w:type="dxa"/>
            <w:tcBorders/>
          </w:tcPr>
          <w:p>
            <w:pPr>
              <w:pStyle w:val="Compact"/>
              <w:spacing w:before="36" w:after="36"/>
              <w:jc w:val="left"/>
              <w:rPr/>
            </w:pPr>
            <w:r>
              <w:rPr/>
              <w:t>BHEB</w:t>
            </w:r>
          </w:p>
        </w:tc>
        <w:tc>
          <w:tcPr>
            <w:tcW w:w="1319" w:type="dxa"/>
            <w:tcBorders/>
          </w:tcPr>
          <w:p>
            <w:pPr>
              <w:pStyle w:val="Compact"/>
              <w:spacing w:before="36" w:after="36"/>
              <w:jc w:val="right"/>
              <w:rPr/>
            </w:pPr>
            <w:r>
              <w:rPr/>
              <w:t>-119.3932</w:t>
            </w:r>
          </w:p>
        </w:tc>
        <w:tc>
          <w:tcPr>
            <w:tcW w:w="1321" w:type="dxa"/>
            <w:tcBorders/>
          </w:tcPr>
          <w:p>
            <w:pPr>
              <w:pStyle w:val="Compact"/>
              <w:spacing w:before="36" w:after="36"/>
              <w:jc w:val="right"/>
              <w:rPr/>
            </w:pPr>
            <w:r>
              <w:rPr/>
              <w:t>37.05354</w:t>
            </w:r>
          </w:p>
        </w:tc>
        <w:tc>
          <w:tcPr>
            <w:tcW w:w="1545" w:type="dxa"/>
            <w:tcBorders/>
          </w:tcPr>
          <w:p>
            <w:pPr>
              <w:pStyle w:val="Compact"/>
              <w:spacing w:before="36" w:after="36"/>
              <w:jc w:val="right"/>
              <w:rPr/>
            </w:pPr>
            <w:r>
              <w:rPr/>
              <w:t>NA</w:t>
            </w:r>
          </w:p>
        </w:tc>
        <w:tc>
          <w:tcPr>
            <w:tcW w:w="1530" w:type="dxa"/>
            <w:tcBorders/>
          </w:tcPr>
          <w:p>
            <w:pPr>
              <w:pStyle w:val="Compact"/>
              <w:spacing w:before="36" w:after="36"/>
              <w:jc w:val="right"/>
              <w:rPr/>
            </w:pPr>
            <w:r>
              <w:rPr/>
              <w:t>9</w:t>
            </w:r>
          </w:p>
        </w:tc>
        <w:tc>
          <w:tcPr>
            <w:tcW w:w="1620" w:type="dxa"/>
            <w:tcBorders/>
          </w:tcPr>
          <w:p>
            <w:pPr>
              <w:pStyle w:val="Compact"/>
              <w:spacing w:before="36" w:after="36"/>
              <w:jc w:val="right"/>
              <w:rPr/>
            </w:pPr>
            <w:r>
              <w:rPr/>
              <w:t>10</w:t>
            </w:r>
          </w:p>
        </w:tc>
      </w:tr>
      <w:tr>
        <w:trPr/>
        <w:tc>
          <w:tcPr>
            <w:tcW w:w="1320" w:type="dxa"/>
            <w:tcBorders/>
          </w:tcPr>
          <w:p>
            <w:pPr>
              <w:pStyle w:val="Compact"/>
              <w:spacing w:before="36" w:after="36"/>
              <w:jc w:val="left"/>
              <w:rPr/>
            </w:pPr>
            <w:r>
              <w:rPr/>
              <w:t>BMLZ</w:t>
            </w:r>
          </w:p>
        </w:tc>
        <w:tc>
          <w:tcPr>
            <w:tcW w:w="1319" w:type="dxa"/>
            <w:tcBorders/>
          </w:tcPr>
          <w:p>
            <w:pPr>
              <w:pStyle w:val="Compact"/>
              <w:spacing w:before="36" w:after="36"/>
              <w:jc w:val="right"/>
              <w:rPr/>
            </w:pPr>
            <w:r>
              <w:rPr/>
              <w:t>-119.3140</w:t>
            </w:r>
          </w:p>
        </w:tc>
        <w:tc>
          <w:tcPr>
            <w:tcW w:w="1321" w:type="dxa"/>
            <w:tcBorders/>
          </w:tcPr>
          <w:p>
            <w:pPr>
              <w:pStyle w:val="Compact"/>
              <w:spacing w:before="36" w:after="36"/>
              <w:jc w:val="right"/>
              <w:rPr/>
            </w:pPr>
            <w:r>
              <w:rPr/>
              <w:t>37.09063</w:t>
            </w:r>
          </w:p>
        </w:tc>
        <w:tc>
          <w:tcPr>
            <w:tcW w:w="1545" w:type="dxa"/>
            <w:tcBorders/>
          </w:tcPr>
          <w:p>
            <w:pPr>
              <w:pStyle w:val="Compact"/>
              <w:spacing w:before="36" w:after="36"/>
              <w:jc w:val="right"/>
              <w:rPr/>
            </w:pPr>
            <w:r>
              <w:rPr/>
              <w:t>5</w:t>
            </w:r>
          </w:p>
        </w:tc>
        <w:tc>
          <w:tcPr>
            <w:tcW w:w="1530" w:type="dxa"/>
            <w:tcBorders/>
          </w:tcPr>
          <w:p>
            <w:pPr>
              <w:pStyle w:val="Compact"/>
              <w:spacing w:before="36" w:after="36"/>
              <w:jc w:val="right"/>
              <w:rPr/>
            </w:pPr>
            <w:r>
              <w:rPr/>
              <w:t>NA</w:t>
            </w:r>
          </w:p>
        </w:tc>
        <w:tc>
          <w:tcPr>
            <w:tcW w:w="1620" w:type="dxa"/>
            <w:tcBorders/>
          </w:tcPr>
          <w:p>
            <w:pPr>
              <w:pStyle w:val="Compact"/>
              <w:spacing w:before="36" w:after="36"/>
              <w:jc w:val="right"/>
              <w:rPr/>
            </w:pPr>
            <w:r>
              <w:rPr/>
              <w:t>5</w:t>
            </w:r>
          </w:p>
        </w:tc>
      </w:tr>
      <w:tr>
        <w:trPr/>
        <w:tc>
          <w:tcPr>
            <w:tcW w:w="1320" w:type="dxa"/>
            <w:tcBorders/>
          </w:tcPr>
          <w:p>
            <w:pPr>
              <w:pStyle w:val="Compact"/>
              <w:spacing w:before="36" w:after="36"/>
              <w:jc w:val="left"/>
              <w:rPr/>
            </w:pPr>
            <w:r>
              <w:rPr/>
              <w:t>CCNB</w:t>
            </w:r>
          </w:p>
        </w:tc>
        <w:tc>
          <w:tcPr>
            <w:tcW w:w="1319" w:type="dxa"/>
            <w:tcBorders/>
          </w:tcPr>
          <w:p>
            <w:pPr>
              <w:pStyle w:val="Compact"/>
              <w:spacing w:before="36" w:after="36"/>
              <w:jc w:val="right"/>
              <w:rPr/>
            </w:pPr>
            <w:r>
              <w:rPr/>
              <w:t>-119.9633</w:t>
            </w:r>
          </w:p>
        </w:tc>
        <w:tc>
          <w:tcPr>
            <w:tcW w:w="1321" w:type="dxa"/>
            <w:tcBorders/>
          </w:tcPr>
          <w:p>
            <w:pPr>
              <w:pStyle w:val="Compact"/>
              <w:spacing w:before="36" w:after="36"/>
              <w:jc w:val="right"/>
              <w:rPr/>
            </w:pPr>
            <w:r>
              <w:rPr/>
              <w:t>38.18393</w:t>
            </w:r>
          </w:p>
        </w:tc>
        <w:tc>
          <w:tcPr>
            <w:tcW w:w="1545" w:type="dxa"/>
            <w:tcBorders/>
          </w:tcPr>
          <w:p>
            <w:pPr>
              <w:pStyle w:val="Compact"/>
              <w:spacing w:before="36" w:after="36"/>
              <w:jc w:val="right"/>
              <w:rPr/>
            </w:pPr>
            <w:r>
              <w:rPr/>
              <w:t>NA</w:t>
            </w:r>
          </w:p>
        </w:tc>
        <w:tc>
          <w:tcPr>
            <w:tcW w:w="1530" w:type="dxa"/>
            <w:tcBorders/>
          </w:tcPr>
          <w:p>
            <w:pPr>
              <w:pStyle w:val="Compact"/>
              <w:spacing w:before="36" w:after="36"/>
              <w:jc w:val="right"/>
              <w:rPr/>
            </w:pPr>
            <w:r>
              <w:rPr/>
              <w:t>NA</w:t>
            </w:r>
          </w:p>
        </w:tc>
        <w:tc>
          <w:tcPr>
            <w:tcW w:w="1620" w:type="dxa"/>
            <w:tcBorders/>
          </w:tcPr>
          <w:p>
            <w:pPr>
              <w:pStyle w:val="Compact"/>
              <w:spacing w:before="36" w:after="36"/>
              <w:jc w:val="right"/>
              <w:rPr/>
            </w:pPr>
            <w:r>
              <w:rPr/>
              <w:t>12</w:t>
            </w:r>
          </w:p>
        </w:tc>
      </w:tr>
      <w:tr>
        <w:trPr/>
        <w:tc>
          <w:tcPr>
            <w:tcW w:w="1320" w:type="dxa"/>
            <w:tcBorders/>
          </w:tcPr>
          <w:p>
            <w:pPr>
              <w:pStyle w:val="Compact"/>
              <w:spacing w:before="36" w:after="36"/>
              <w:jc w:val="left"/>
              <w:rPr/>
            </w:pPr>
            <w:r>
              <w:rPr/>
              <w:t>CCRB</w:t>
            </w:r>
          </w:p>
        </w:tc>
        <w:tc>
          <w:tcPr>
            <w:tcW w:w="1319" w:type="dxa"/>
            <w:tcBorders/>
          </w:tcPr>
          <w:p>
            <w:pPr>
              <w:pStyle w:val="Compact"/>
              <w:spacing w:before="36" w:after="36"/>
              <w:jc w:val="right"/>
              <w:rPr/>
            </w:pPr>
            <w:r>
              <w:rPr/>
              <w:t>-119.9979</w:t>
            </w:r>
          </w:p>
        </w:tc>
        <w:tc>
          <w:tcPr>
            <w:tcW w:w="1321" w:type="dxa"/>
            <w:tcBorders/>
          </w:tcPr>
          <w:p>
            <w:pPr>
              <w:pStyle w:val="Compact"/>
              <w:spacing w:before="36" w:after="36"/>
              <w:jc w:val="right"/>
              <w:rPr/>
            </w:pPr>
            <w:r>
              <w:rPr/>
              <w:t>37.48634</w:t>
            </w:r>
          </w:p>
        </w:tc>
        <w:tc>
          <w:tcPr>
            <w:tcW w:w="1545" w:type="dxa"/>
            <w:tcBorders/>
          </w:tcPr>
          <w:p>
            <w:pPr>
              <w:pStyle w:val="Compact"/>
              <w:spacing w:before="36" w:after="36"/>
              <w:jc w:val="right"/>
              <w:rPr/>
            </w:pPr>
            <w:r>
              <w:rPr/>
              <w:t>NA</w:t>
            </w:r>
          </w:p>
        </w:tc>
        <w:tc>
          <w:tcPr>
            <w:tcW w:w="1530" w:type="dxa"/>
            <w:tcBorders/>
          </w:tcPr>
          <w:p>
            <w:pPr>
              <w:pStyle w:val="Compact"/>
              <w:spacing w:before="36" w:after="36"/>
              <w:jc w:val="right"/>
              <w:rPr/>
            </w:pPr>
            <w:r>
              <w:rPr/>
              <w:t>9</w:t>
            </w:r>
          </w:p>
        </w:tc>
        <w:tc>
          <w:tcPr>
            <w:tcW w:w="1620" w:type="dxa"/>
            <w:tcBorders/>
          </w:tcPr>
          <w:p>
            <w:pPr>
              <w:pStyle w:val="Compact"/>
              <w:spacing w:before="36" w:after="36"/>
              <w:jc w:val="right"/>
              <w:rPr/>
            </w:pPr>
            <w:r>
              <w:rPr/>
              <w:t>NA</w:t>
            </w:r>
          </w:p>
        </w:tc>
      </w:tr>
      <w:tr>
        <w:trPr/>
        <w:tc>
          <w:tcPr>
            <w:tcW w:w="1320" w:type="dxa"/>
            <w:tcBorders/>
          </w:tcPr>
          <w:p>
            <w:pPr>
              <w:pStyle w:val="Compact"/>
              <w:spacing w:before="36" w:after="36"/>
              <w:jc w:val="left"/>
              <w:rPr/>
            </w:pPr>
            <w:r>
              <w:rPr/>
              <w:t>CFZZ</w:t>
            </w:r>
          </w:p>
        </w:tc>
        <w:tc>
          <w:tcPr>
            <w:tcW w:w="1319" w:type="dxa"/>
            <w:tcBorders/>
          </w:tcPr>
          <w:p>
            <w:pPr>
              <w:pStyle w:val="Compact"/>
              <w:spacing w:before="36" w:after="36"/>
              <w:jc w:val="right"/>
              <w:rPr/>
            </w:pPr>
            <w:r>
              <w:rPr/>
              <w:t>-119.8030</w:t>
            </w:r>
          </w:p>
        </w:tc>
        <w:tc>
          <w:tcPr>
            <w:tcW w:w="1321" w:type="dxa"/>
            <w:tcBorders/>
          </w:tcPr>
          <w:p>
            <w:pPr>
              <w:pStyle w:val="Compact"/>
              <w:spacing w:before="36" w:after="36"/>
              <w:jc w:val="right"/>
              <w:rPr/>
            </w:pPr>
            <w:r>
              <w:rPr/>
              <w:t>37.75599</w:t>
            </w:r>
          </w:p>
        </w:tc>
        <w:tc>
          <w:tcPr>
            <w:tcW w:w="1545" w:type="dxa"/>
            <w:tcBorders/>
          </w:tcPr>
          <w:p>
            <w:pPr>
              <w:pStyle w:val="Compact"/>
              <w:spacing w:before="36" w:after="36"/>
              <w:jc w:val="right"/>
              <w:rPr/>
            </w:pPr>
            <w:r>
              <w:rPr/>
              <w:t>NA</w:t>
            </w:r>
          </w:p>
        </w:tc>
        <w:tc>
          <w:tcPr>
            <w:tcW w:w="1530" w:type="dxa"/>
            <w:tcBorders/>
          </w:tcPr>
          <w:p>
            <w:pPr>
              <w:pStyle w:val="Compact"/>
              <w:spacing w:before="36" w:after="36"/>
              <w:jc w:val="right"/>
              <w:rPr/>
            </w:pPr>
            <w:r>
              <w:rPr/>
              <w:t>NA</w:t>
            </w:r>
          </w:p>
        </w:tc>
        <w:tc>
          <w:tcPr>
            <w:tcW w:w="1620" w:type="dxa"/>
            <w:tcBorders/>
          </w:tcPr>
          <w:p>
            <w:pPr>
              <w:pStyle w:val="Compact"/>
              <w:spacing w:before="36" w:after="36"/>
              <w:jc w:val="right"/>
              <w:rPr/>
            </w:pPr>
            <w:r>
              <w:rPr/>
              <w:t>10</w:t>
            </w:r>
          </w:p>
        </w:tc>
      </w:tr>
      <w:tr>
        <w:trPr/>
        <w:tc>
          <w:tcPr>
            <w:tcW w:w="1320" w:type="dxa"/>
            <w:tcBorders/>
          </w:tcPr>
          <w:p>
            <w:pPr>
              <w:pStyle w:val="Compact"/>
              <w:spacing w:before="36" w:after="36"/>
              <w:jc w:val="left"/>
              <w:rPr/>
            </w:pPr>
            <w:r>
              <w:rPr/>
              <w:t>FVWB</w:t>
            </w:r>
          </w:p>
        </w:tc>
        <w:tc>
          <w:tcPr>
            <w:tcW w:w="1319" w:type="dxa"/>
            <w:tcBorders/>
          </w:tcPr>
          <w:p>
            <w:pPr>
              <w:pStyle w:val="Compact"/>
              <w:spacing w:before="36" w:after="36"/>
              <w:jc w:val="right"/>
              <w:rPr/>
            </w:pPr>
            <w:r>
              <w:rPr/>
              <w:t>-119.7027</w:t>
            </w:r>
          </w:p>
        </w:tc>
        <w:tc>
          <w:tcPr>
            <w:tcW w:w="1321" w:type="dxa"/>
            <w:tcBorders/>
          </w:tcPr>
          <w:p>
            <w:pPr>
              <w:pStyle w:val="Compact"/>
              <w:spacing w:before="36" w:after="36"/>
              <w:jc w:val="right"/>
              <w:rPr/>
            </w:pPr>
            <w:r>
              <w:rPr/>
              <w:t>37.69859</w:t>
            </w:r>
          </w:p>
        </w:tc>
        <w:tc>
          <w:tcPr>
            <w:tcW w:w="1545" w:type="dxa"/>
            <w:tcBorders/>
          </w:tcPr>
          <w:p>
            <w:pPr>
              <w:pStyle w:val="Compact"/>
              <w:spacing w:before="36" w:after="36"/>
              <w:jc w:val="right"/>
              <w:rPr/>
            </w:pPr>
            <w:r>
              <w:rPr/>
              <w:t>NA</w:t>
            </w:r>
          </w:p>
        </w:tc>
        <w:tc>
          <w:tcPr>
            <w:tcW w:w="1530" w:type="dxa"/>
            <w:tcBorders/>
          </w:tcPr>
          <w:p>
            <w:pPr>
              <w:pStyle w:val="Compact"/>
              <w:spacing w:before="36" w:after="36"/>
              <w:jc w:val="right"/>
              <w:rPr/>
            </w:pPr>
            <w:r>
              <w:rPr/>
              <w:t>NA</w:t>
            </w:r>
          </w:p>
        </w:tc>
        <w:tc>
          <w:tcPr>
            <w:tcW w:w="1620" w:type="dxa"/>
            <w:tcBorders/>
          </w:tcPr>
          <w:p>
            <w:pPr>
              <w:pStyle w:val="Compact"/>
              <w:spacing w:before="36" w:after="36"/>
              <w:jc w:val="right"/>
              <w:rPr/>
            </w:pPr>
            <w:r>
              <w:rPr/>
              <w:t>1</w:t>
            </w:r>
          </w:p>
        </w:tc>
      </w:tr>
      <w:tr>
        <w:trPr/>
        <w:tc>
          <w:tcPr>
            <w:tcW w:w="1320" w:type="dxa"/>
            <w:tcBorders/>
          </w:tcPr>
          <w:p>
            <w:pPr>
              <w:pStyle w:val="Compact"/>
              <w:spacing w:before="36" w:after="36"/>
              <w:jc w:val="left"/>
              <w:rPr/>
            </w:pPr>
            <w:r>
              <w:rPr/>
              <w:t>HDRB</w:t>
            </w:r>
          </w:p>
        </w:tc>
        <w:tc>
          <w:tcPr>
            <w:tcW w:w="1319" w:type="dxa"/>
            <w:tcBorders/>
          </w:tcPr>
          <w:p>
            <w:pPr>
              <w:pStyle w:val="Compact"/>
              <w:spacing w:before="36" w:after="36"/>
              <w:jc w:val="right"/>
              <w:rPr/>
            </w:pPr>
            <w:r>
              <w:rPr/>
              <w:t>-119.5347</w:t>
            </w:r>
          </w:p>
        </w:tc>
        <w:tc>
          <w:tcPr>
            <w:tcW w:w="1321" w:type="dxa"/>
            <w:tcBorders/>
          </w:tcPr>
          <w:p>
            <w:pPr>
              <w:pStyle w:val="Compact"/>
              <w:spacing w:before="36" w:after="36"/>
              <w:jc w:val="right"/>
              <w:rPr/>
            </w:pPr>
            <w:r>
              <w:rPr/>
              <w:t>37.28867</w:t>
            </w:r>
          </w:p>
        </w:tc>
        <w:tc>
          <w:tcPr>
            <w:tcW w:w="1545" w:type="dxa"/>
            <w:tcBorders/>
          </w:tcPr>
          <w:p>
            <w:pPr>
              <w:pStyle w:val="Compact"/>
              <w:spacing w:before="36" w:after="36"/>
              <w:jc w:val="right"/>
              <w:rPr/>
            </w:pPr>
            <w:r>
              <w:rPr/>
              <w:t>NA</w:t>
            </w:r>
          </w:p>
        </w:tc>
        <w:tc>
          <w:tcPr>
            <w:tcW w:w="1530" w:type="dxa"/>
            <w:tcBorders/>
          </w:tcPr>
          <w:p>
            <w:pPr>
              <w:pStyle w:val="Compact"/>
              <w:spacing w:before="36" w:after="36"/>
              <w:jc w:val="right"/>
              <w:rPr/>
            </w:pPr>
            <w:r>
              <w:rPr/>
              <w:t>NA</w:t>
            </w:r>
          </w:p>
        </w:tc>
        <w:tc>
          <w:tcPr>
            <w:tcW w:w="1620" w:type="dxa"/>
            <w:tcBorders/>
          </w:tcPr>
          <w:p>
            <w:pPr>
              <w:pStyle w:val="Compact"/>
              <w:spacing w:before="36" w:after="36"/>
              <w:jc w:val="right"/>
              <w:rPr/>
            </w:pPr>
            <w:r>
              <w:rPr/>
              <w:t>10</w:t>
            </w:r>
          </w:p>
        </w:tc>
      </w:tr>
      <w:tr>
        <w:trPr/>
        <w:tc>
          <w:tcPr>
            <w:tcW w:w="1320" w:type="dxa"/>
            <w:tcBorders/>
          </w:tcPr>
          <w:p>
            <w:pPr>
              <w:pStyle w:val="Compact"/>
              <w:spacing w:before="36" w:after="36"/>
              <w:jc w:val="left"/>
              <w:rPr/>
            </w:pPr>
            <w:r>
              <w:rPr/>
              <w:t>HHBB</w:t>
            </w:r>
          </w:p>
        </w:tc>
        <w:tc>
          <w:tcPr>
            <w:tcW w:w="1319" w:type="dxa"/>
            <w:tcBorders/>
          </w:tcPr>
          <w:p>
            <w:pPr>
              <w:pStyle w:val="Compact"/>
              <w:spacing w:before="36" w:after="36"/>
              <w:jc w:val="right"/>
              <w:rPr/>
            </w:pPr>
            <w:r>
              <w:rPr/>
              <w:t>-119.7786</w:t>
            </w:r>
          </w:p>
        </w:tc>
        <w:tc>
          <w:tcPr>
            <w:tcW w:w="1321" w:type="dxa"/>
            <w:tcBorders/>
          </w:tcPr>
          <w:p>
            <w:pPr>
              <w:pStyle w:val="Compact"/>
              <w:spacing w:before="36" w:after="36"/>
              <w:jc w:val="right"/>
              <w:rPr/>
            </w:pPr>
            <w:r>
              <w:rPr/>
              <w:t>37.95906</w:t>
            </w:r>
          </w:p>
        </w:tc>
        <w:tc>
          <w:tcPr>
            <w:tcW w:w="1545" w:type="dxa"/>
            <w:tcBorders/>
          </w:tcPr>
          <w:p>
            <w:pPr>
              <w:pStyle w:val="Compact"/>
              <w:spacing w:before="36" w:after="36"/>
              <w:jc w:val="right"/>
              <w:rPr/>
            </w:pPr>
            <w:r>
              <w:rPr/>
              <w:t>10</w:t>
            </w:r>
          </w:p>
        </w:tc>
        <w:tc>
          <w:tcPr>
            <w:tcW w:w="1530" w:type="dxa"/>
            <w:tcBorders/>
          </w:tcPr>
          <w:p>
            <w:pPr>
              <w:pStyle w:val="Compact"/>
              <w:spacing w:before="36" w:after="36"/>
              <w:jc w:val="right"/>
              <w:rPr/>
            </w:pPr>
            <w:r>
              <w:rPr/>
              <w:t>NA</w:t>
            </w:r>
          </w:p>
        </w:tc>
        <w:tc>
          <w:tcPr>
            <w:tcW w:w="1620" w:type="dxa"/>
            <w:tcBorders/>
          </w:tcPr>
          <w:p>
            <w:pPr>
              <w:pStyle w:val="Compact"/>
              <w:spacing w:before="36" w:after="36"/>
              <w:jc w:val="right"/>
              <w:rPr/>
            </w:pPr>
            <w:r>
              <w:rPr/>
              <w:t>10</w:t>
            </w:r>
          </w:p>
        </w:tc>
      </w:tr>
      <w:tr>
        <w:trPr/>
        <w:tc>
          <w:tcPr>
            <w:tcW w:w="1320" w:type="dxa"/>
            <w:tcBorders/>
          </w:tcPr>
          <w:p>
            <w:pPr>
              <w:pStyle w:val="Compact"/>
              <w:spacing w:before="36" w:after="36"/>
              <w:jc w:val="left"/>
              <w:rPr/>
            </w:pPr>
            <w:r>
              <w:rPr/>
              <w:t>HULB</w:t>
            </w:r>
          </w:p>
        </w:tc>
        <w:tc>
          <w:tcPr>
            <w:tcW w:w="1319" w:type="dxa"/>
            <w:tcBorders/>
          </w:tcPr>
          <w:p>
            <w:pPr>
              <w:pStyle w:val="Compact"/>
              <w:spacing w:before="36" w:after="36"/>
              <w:jc w:val="right"/>
              <w:rPr/>
            </w:pPr>
            <w:r>
              <w:rPr/>
              <w:t>-119.1496</w:t>
            </w:r>
          </w:p>
        </w:tc>
        <w:tc>
          <w:tcPr>
            <w:tcW w:w="1321" w:type="dxa"/>
            <w:tcBorders/>
          </w:tcPr>
          <w:p>
            <w:pPr>
              <w:pStyle w:val="Compact"/>
              <w:spacing w:before="36" w:after="36"/>
              <w:jc w:val="right"/>
              <w:rPr/>
            </w:pPr>
            <w:r>
              <w:rPr/>
              <w:t>37.23553</w:t>
            </w:r>
          </w:p>
        </w:tc>
        <w:tc>
          <w:tcPr>
            <w:tcW w:w="1545" w:type="dxa"/>
            <w:tcBorders/>
          </w:tcPr>
          <w:p>
            <w:pPr>
              <w:pStyle w:val="Compact"/>
              <w:spacing w:before="36" w:after="36"/>
              <w:jc w:val="right"/>
              <w:rPr/>
            </w:pPr>
            <w:r>
              <w:rPr/>
              <w:t>5</w:t>
            </w:r>
          </w:p>
        </w:tc>
        <w:tc>
          <w:tcPr>
            <w:tcW w:w="1530" w:type="dxa"/>
            <w:tcBorders/>
          </w:tcPr>
          <w:p>
            <w:pPr>
              <w:pStyle w:val="Compact"/>
              <w:spacing w:before="36" w:after="36"/>
              <w:jc w:val="right"/>
              <w:rPr/>
            </w:pPr>
            <w:r>
              <w:rPr/>
              <w:t>NA</w:t>
            </w:r>
          </w:p>
        </w:tc>
        <w:tc>
          <w:tcPr>
            <w:tcW w:w="1620" w:type="dxa"/>
            <w:tcBorders/>
          </w:tcPr>
          <w:p>
            <w:pPr>
              <w:pStyle w:val="Compact"/>
              <w:spacing w:before="36" w:after="36"/>
              <w:jc w:val="right"/>
              <w:rPr/>
            </w:pPr>
            <w:r>
              <w:rPr/>
              <w:t>5</w:t>
            </w:r>
          </w:p>
        </w:tc>
      </w:tr>
      <w:tr>
        <w:trPr/>
        <w:tc>
          <w:tcPr>
            <w:tcW w:w="1320" w:type="dxa"/>
            <w:tcBorders/>
          </w:tcPr>
          <w:p>
            <w:pPr>
              <w:pStyle w:val="Compact"/>
              <w:spacing w:before="36" w:after="36"/>
              <w:jc w:val="left"/>
              <w:rPr/>
            </w:pPr>
            <w:r>
              <w:rPr/>
              <w:t>HUOB</w:t>
            </w:r>
          </w:p>
        </w:tc>
        <w:tc>
          <w:tcPr>
            <w:tcW w:w="1319" w:type="dxa"/>
            <w:tcBorders/>
          </w:tcPr>
          <w:p>
            <w:pPr>
              <w:pStyle w:val="Compact"/>
              <w:spacing w:before="36" w:after="36"/>
              <w:jc w:val="right"/>
              <w:rPr/>
            </w:pPr>
            <w:r>
              <w:rPr/>
              <w:t>-119.2735</w:t>
            </w:r>
          </w:p>
        </w:tc>
        <w:tc>
          <w:tcPr>
            <w:tcW w:w="1321" w:type="dxa"/>
            <w:tcBorders/>
          </w:tcPr>
          <w:p>
            <w:pPr>
              <w:pStyle w:val="Compact"/>
              <w:spacing w:before="36" w:after="36"/>
              <w:jc w:val="right"/>
              <w:rPr/>
            </w:pPr>
            <w:r>
              <w:rPr/>
              <w:t>37.15072</w:t>
            </w:r>
          </w:p>
        </w:tc>
        <w:tc>
          <w:tcPr>
            <w:tcW w:w="1545" w:type="dxa"/>
            <w:tcBorders/>
          </w:tcPr>
          <w:p>
            <w:pPr>
              <w:pStyle w:val="Compact"/>
              <w:spacing w:before="36" w:after="36"/>
              <w:jc w:val="right"/>
              <w:rPr/>
            </w:pPr>
            <w:r>
              <w:rPr/>
              <w:t>NA</w:t>
            </w:r>
          </w:p>
        </w:tc>
        <w:tc>
          <w:tcPr>
            <w:tcW w:w="1530" w:type="dxa"/>
            <w:tcBorders/>
          </w:tcPr>
          <w:p>
            <w:pPr>
              <w:pStyle w:val="Compact"/>
              <w:spacing w:before="36" w:after="36"/>
              <w:jc w:val="right"/>
              <w:rPr/>
            </w:pPr>
            <w:r>
              <w:rPr/>
              <w:t>5</w:t>
            </w:r>
          </w:p>
        </w:tc>
        <w:tc>
          <w:tcPr>
            <w:tcW w:w="1620" w:type="dxa"/>
            <w:tcBorders/>
          </w:tcPr>
          <w:p>
            <w:pPr>
              <w:pStyle w:val="Compact"/>
              <w:spacing w:before="36" w:after="36"/>
              <w:jc w:val="right"/>
              <w:rPr/>
            </w:pPr>
            <w:r>
              <w:rPr/>
              <w:t>17</w:t>
            </w:r>
          </w:p>
        </w:tc>
      </w:tr>
      <w:tr>
        <w:trPr/>
        <w:tc>
          <w:tcPr>
            <w:tcW w:w="1320" w:type="dxa"/>
            <w:tcBorders/>
          </w:tcPr>
          <w:p>
            <w:pPr>
              <w:pStyle w:val="Compact"/>
              <w:spacing w:before="36" w:after="36"/>
              <w:jc w:val="left"/>
              <w:rPr/>
            </w:pPr>
            <w:r>
              <w:rPr/>
              <w:t>KNOB</w:t>
            </w:r>
          </w:p>
        </w:tc>
        <w:tc>
          <w:tcPr>
            <w:tcW w:w="1319" w:type="dxa"/>
            <w:tcBorders/>
          </w:tcPr>
          <w:p>
            <w:pPr>
              <w:pStyle w:val="Compact"/>
              <w:spacing w:before="36" w:after="36"/>
              <w:jc w:val="right"/>
              <w:rPr/>
            </w:pPr>
            <w:r>
              <w:rPr/>
              <w:t>-119.4404</w:t>
            </w:r>
          </w:p>
        </w:tc>
        <w:tc>
          <w:tcPr>
            <w:tcW w:w="1321" w:type="dxa"/>
            <w:tcBorders/>
          </w:tcPr>
          <w:p>
            <w:pPr>
              <w:pStyle w:val="Compact"/>
              <w:spacing w:before="36" w:after="36"/>
              <w:jc w:val="right"/>
              <w:rPr/>
            </w:pPr>
            <w:r>
              <w:rPr/>
              <w:t>37.85385</w:t>
            </w:r>
          </w:p>
        </w:tc>
        <w:tc>
          <w:tcPr>
            <w:tcW w:w="1545" w:type="dxa"/>
            <w:tcBorders/>
          </w:tcPr>
          <w:p>
            <w:pPr>
              <w:pStyle w:val="Compact"/>
              <w:spacing w:before="36" w:after="36"/>
              <w:jc w:val="right"/>
              <w:rPr/>
            </w:pPr>
            <w:r>
              <w:rPr/>
              <w:t>10</w:t>
            </w:r>
          </w:p>
        </w:tc>
        <w:tc>
          <w:tcPr>
            <w:tcW w:w="1530" w:type="dxa"/>
            <w:tcBorders/>
          </w:tcPr>
          <w:p>
            <w:pPr>
              <w:pStyle w:val="Compact"/>
              <w:spacing w:before="36" w:after="36"/>
              <w:jc w:val="right"/>
              <w:rPr/>
            </w:pPr>
            <w:r>
              <w:rPr/>
              <w:t>NA</w:t>
            </w:r>
          </w:p>
        </w:tc>
        <w:tc>
          <w:tcPr>
            <w:tcW w:w="1620" w:type="dxa"/>
            <w:tcBorders/>
          </w:tcPr>
          <w:p>
            <w:pPr>
              <w:pStyle w:val="Compact"/>
              <w:spacing w:before="36" w:after="36"/>
              <w:jc w:val="right"/>
              <w:rPr/>
            </w:pPr>
            <w:r>
              <w:rPr/>
              <w:t>NA</w:t>
            </w:r>
          </w:p>
        </w:tc>
      </w:tr>
      <w:tr>
        <w:trPr/>
        <w:tc>
          <w:tcPr>
            <w:tcW w:w="1320" w:type="dxa"/>
            <w:tcBorders/>
          </w:tcPr>
          <w:p>
            <w:pPr>
              <w:pStyle w:val="Compact"/>
              <w:spacing w:before="36" w:after="36"/>
              <w:jc w:val="left"/>
              <w:rPr/>
            </w:pPr>
            <w:r>
              <w:rPr/>
              <w:t>LMZZ</w:t>
            </w:r>
          </w:p>
        </w:tc>
        <w:tc>
          <w:tcPr>
            <w:tcW w:w="1319" w:type="dxa"/>
            <w:tcBorders/>
          </w:tcPr>
          <w:p>
            <w:pPr>
              <w:pStyle w:val="Compact"/>
              <w:spacing w:before="36" w:after="36"/>
              <w:jc w:val="right"/>
              <w:rPr/>
            </w:pPr>
            <w:r>
              <w:rPr/>
              <w:t>-119.7727</w:t>
            </w:r>
          </w:p>
        </w:tc>
        <w:tc>
          <w:tcPr>
            <w:tcW w:w="1321" w:type="dxa"/>
            <w:tcBorders/>
          </w:tcPr>
          <w:p>
            <w:pPr>
              <w:pStyle w:val="Compact"/>
              <w:spacing w:before="36" w:after="36"/>
              <w:jc w:val="right"/>
              <w:rPr/>
            </w:pPr>
            <w:r>
              <w:rPr/>
              <w:t>37.76778</w:t>
            </w:r>
          </w:p>
        </w:tc>
        <w:tc>
          <w:tcPr>
            <w:tcW w:w="1545" w:type="dxa"/>
            <w:tcBorders/>
          </w:tcPr>
          <w:p>
            <w:pPr>
              <w:pStyle w:val="Compact"/>
              <w:spacing w:before="36" w:after="36"/>
              <w:jc w:val="right"/>
              <w:rPr/>
            </w:pPr>
            <w:r>
              <w:rPr/>
              <w:t>NA</w:t>
            </w:r>
          </w:p>
        </w:tc>
        <w:tc>
          <w:tcPr>
            <w:tcW w:w="1530" w:type="dxa"/>
            <w:tcBorders/>
          </w:tcPr>
          <w:p>
            <w:pPr>
              <w:pStyle w:val="Compact"/>
              <w:spacing w:before="36" w:after="36"/>
              <w:jc w:val="right"/>
              <w:rPr/>
            </w:pPr>
            <w:r>
              <w:rPr/>
              <w:t>NA</w:t>
            </w:r>
          </w:p>
        </w:tc>
        <w:tc>
          <w:tcPr>
            <w:tcW w:w="1620" w:type="dxa"/>
            <w:tcBorders/>
          </w:tcPr>
          <w:p>
            <w:pPr>
              <w:pStyle w:val="Compact"/>
              <w:spacing w:before="36" w:after="36"/>
              <w:jc w:val="right"/>
              <w:rPr/>
            </w:pPr>
            <w:r>
              <w:rPr/>
              <w:t>10</w:t>
            </w:r>
          </w:p>
        </w:tc>
      </w:tr>
      <w:tr>
        <w:trPr/>
        <w:tc>
          <w:tcPr>
            <w:tcW w:w="1320" w:type="dxa"/>
            <w:tcBorders/>
          </w:tcPr>
          <w:p>
            <w:pPr>
              <w:pStyle w:val="Compact"/>
              <w:spacing w:before="36" w:after="36"/>
              <w:jc w:val="left"/>
              <w:rPr/>
            </w:pPr>
            <w:r>
              <w:rPr/>
              <w:t>LYFB</w:t>
            </w:r>
          </w:p>
        </w:tc>
        <w:tc>
          <w:tcPr>
            <w:tcW w:w="1319" w:type="dxa"/>
            <w:tcBorders/>
          </w:tcPr>
          <w:p>
            <w:pPr>
              <w:pStyle w:val="Compact"/>
              <w:spacing w:before="36" w:after="36"/>
              <w:jc w:val="right"/>
              <w:rPr/>
            </w:pPr>
            <w:r>
              <w:rPr/>
              <w:t>-119.6014</w:t>
            </w:r>
          </w:p>
        </w:tc>
        <w:tc>
          <w:tcPr>
            <w:tcW w:w="1321" w:type="dxa"/>
            <w:tcBorders/>
          </w:tcPr>
          <w:p>
            <w:pPr>
              <w:pStyle w:val="Compact"/>
              <w:spacing w:before="36" w:after="36"/>
              <w:jc w:val="right"/>
              <w:rPr/>
            </w:pPr>
            <w:r>
              <w:rPr/>
              <w:t>37.74882</w:t>
            </w:r>
          </w:p>
        </w:tc>
        <w:tc>
          <w:tcPr>
            <w:tcW w:w="1545" w:type="dxa"/>
            <w:tcBorders/>
          </w:tcPr>
          <w:p>
            <w:pPr>
              <w:pStyle w:val="Compact"/>
              <w:spacing w:before="36" w:after="36"/>
              <w:jc w:val="right"/>
              <w:rPr/>
            </w:pPr>
            <w:r>
              <w:rPr/>
              <w:t>NA</w:t>
            </w:r>
          </w:p>
        </w:tc>
        <w:tc>
          <w:tcPr>
            <w:tcW w:w="1530" w:type="dxa"/>
            <w:tcBorders/>
          </w:tcPr>
          <w:p>
            <w:pPr>
              <w:pStyle w:val="Compact"/>
              <w:spacing w:before="36" w:after="36"/>
              <w:jc w:val="right"/>
              <w:rPr/>
            </w:pPr>
            <w:r>
              <w:rPr/>
              <w:t>NA</w:t>
            </w:r>
          </w:p>
        </w:tc>
        <w:tc>
          <w:tcPr>
            <w:tcW w:w="1620" w:type="dxa"/>
            <w:tcBorders/>
          </w:tcPr>
          <w:p>
            <w:pPr>
              <w:pStyle w:val="Compact"/>
              <w:spacing w:before="36" w:after="36"/>
              <w:jc w:val="right"/>
              <w:rPr/>
            </w:pPr>
            <w:r>
              <w:rPr/>
              <w:t>5</w:t>
            </w:r>
          </w:p>
        </w:tc>
      </w:tr>
      <w:tr>
        <w:trPr/>
        <w:tc>
          <w:tcPr>
            <w:tcW w:w="1320" w:type="dxa"/>
            <w:tcBorders/>
          </w:tcPr>
          <w:p>
            <w:pPr>
              <w:pStyle w:val="Compact"/>
              <w:spacing w:before="36" w:after="36"/>
              <w:jc w:val="left"/>
              <w:rPr/>
            </w:pPr>
            <w:r>
              <w:rPr/>
              <w:t>NFWB</w:t>
            </w:r>
          </w:p>
        </w:tc>
        <w:tc>
          <w:tcPr>
            <w:tcW w:w="1319" w:type="dxa"/>
            <w:tcBorders/>
          </w:tcPr>
          <w:p>
            <w:pPr>
              <w:pStyle w:val="Compact"/>
              <w:spacing w:before="36" w:after="36"/>
              <w:jc w:val="right"/>
              <w:rPr/>
            </w:pPr>
            <w:r>
              <w:rPr/>
              <w:t>-119.5214</w:t>
            </w:r>
          </w:p>
        </w:tc>
        <w:tc>
          <w:tcPr>
            <w:tcW w:w="1321" w:type="dxa"/>
            <w:tcBorders/>
          </w:tcPr>
          <w:p>
            <w:pPr>
              <w:pStyle w:val="Compact"/>
              <w:spacing w:before="36" w:after="36"/>
              <w:jc w:val="right"/>
              <w:rPr/>
            </w:pPr>
            <w:r>
              <w:rPr/>
              <w:t>37.25740</w:t>
            </w:r>
          </w:p>
        </w:tc>
        <w:tc>
          <w:tcPr>
            <w:tcW w:w="1545" w:type="dxa"/>
            <w:tcBorders/>
          </w:tcPr>
          <w:p>
            <w:pPr>
              <w:pStyle w:val="Compact"/>
              <w:spacing w:before="36" w:after="36"/>
              <w:jc w:val="right"/>
              <w:rPr/>
            </w:pPr>
            <w:r>
              <w:rPr/>
              <w:t>10</w:t>
            </w:r>
          </w:p>
        </w:tc>
        <w:tc>
          <w:tcPr>
            <w:tcW w:w="1530" w:type="dxa"/>
            <w:tcBorders/>
          </w:tcPr>
          <w:p>
            <w:pPr>
              <w:pStyle w:val="Compact"/>
              <w:spacing w:before="36" w:after="36"/>
              <w:jc w:val="right"/>
              <w:rPr/>
            </w:pPr>
            <w:r>
              <w:rPr/>
              <w:t>10</w:t>
            </w:r>
          </w:p>
        </w:tc>
        <w:tc>
          <w:tcPr>
            <w:tcW w:w="1620" w:type="dxa"/>
            <w:tcBorders/>
          </w:tcPr>
          <w:p>
            <w:pPr>
              <w:pStyle w:val="Compact"/>
              <w:spacing w:before="36" w:after="36"/>
              <w:jc w:val="right"/>
              <w:rPr/>
            </w:pPr>
            <w:r>
              <w:rPr/>
              <w:t>NA</w:t>
            </w:r>
          </w:p>
        </w:tc>
      </w:tr>
      <w:tr>
        <w:trPr/>
        <w:tc>
          <w:tcPr>
            <w:tcW w:w="1320" w:type="dxa"/>
            <w:tcBorders/>
          </w:tcPr>
          <w:p>
            <w:pPr>
              <w:pStyle w:val="Compact"/>
              <w:spacing w:before="36" w:after="36"/>
              <w:jc w:val="left"/>
              <w:rPr/>
            </w:pPr>
            <w:r>
              <w:rPr/>
              <w:t>OPNZ</w:t>
            </w:r>
          </w:p>
        </w:tc>
        <w:tc>
          <w:tcPr>
            <w:tcW w:w="1319" w:type="dxa"/>
            <w:tcBorders/>
          </w:tcPr>
          <w:p>
            <w:pPr>
              <w:pStyle w:val="Compact"/>
              <w:spacing w:before="36" w:after="36"/>
              <w:jc w:val="right"/>
              <w:rPr/>
            </w:pPr>
            <w:r>
              <w:rPr/>
              <w:t>-119.4863</w:t>
            </w:r>
          </w:p>
        </w:tc>
        <w:tc>
          <w:tcPr>
            <w:tcW w:w="1321" w:type="dxa"/>
            <w:tcBorders/>
          </w:tcPr>
          <w:p>
            <w:pPr>
              <w:pStyle w:val="Compact"/>
              <w:spacing w:before="36" w:after="36"/>
              <w:jc w:val="right"/>
              <w:rPr/>
            </w:pPr>
            <w:r>
              <w:rPr/>
              <w:t>37.80723</w:t>
            </w:r>
          </w:p>
        </w:tc>
        <w:tc>
          <w:tcPr>
            <w:tcW w:w="1545" w:type="dxa"/>
            <w:tcBorders/>
          </w:tcPr>
          <w:p>
            <w:pPr>
              <w:pStyle w:val="Compact"/>
              <w:spacing w:before="36" w:after="36"/>
              <w:jc w:val="right"/>
              <w:rPr/>
            </w:pPr>
            <w:r>
              <w:rPr/>
              <w:t>20</w:t>
            </w:r>
          </w:p>
        </w:tc>
        <w:tc>
          <w:tcPr>
            <w:tcW w:w="1530" w:type="dxa"/>
            <w:tcBorders/>
          </w:tcPr>
          <w:p>
            <w:pPr>
              <w:pStyle w:val="Compact"/>
              <w:spacing w:before="36" w:after="36"/>
              <w:jc w:val="right"/>
              <w:rPr/>
            </w:pPr>
            <w:r>
              <w:rPr/>
              <w:t>NA</w:t>
            </w:r>
          </w:p>
        </w:tc>
        <w:tc>
          <w:tcPr>
            <w:tcW w:w="1620" w:type="dxa"/>
            <w:tcBorders/>
          </w:tcPr>
          <w:p>
            <w:pPr>
              <w:pStyle w:val="Compact"/>
              <w:spacing w:before="36" w:after="36"/>
              <w:jc w:val="right"/>
              <w:rPr/>
            </w:pPr>
            <w:r>
              <w:rPr/>
              <w:t>NA</w:t>
            </w:r>
          </w:p>
        </w:tc>
      </w:tr>
      <w:tr>
        <w:trPr/>
        <w:tc>
          <w:tcPr>
            <w:tcW w:w="1320" w:type="dxa"/>
            <w:tcBorders/>
          </w:tcPr>
          <w:p>
            <w:pPr>
              <w:pStyle w:val="Compact"/>
              <w:spacing w:before="36" w:after="36"/>
              <w:jc w:val="left"/>
              <w:rPr/>
            </w:pPr>
            <w:r>
              <w:rPr/>
              <w:t>OSKB</w:t>
            </w:r>
          </w:p>
        </w:tc>
        <w:tc>
          <w:tcPr>
            <w:tcW w:w="1319" w:type="dxa"/>
            <w:tcBorders/>
          </w:tcPr>
          <w:p>
            <w:pPr>
              <w:pStyle w:val="Compact"/>
              <w:spacing w:before="36" w:after="36"/>
              <w:jc w:val="right"/>
              <w:rPr/>
            </w:pPr>
            <w:r>
              <w:rPr/>
              <w:t>-119.5946</w:t>
            </w:r>
          </w:p>
        </w:tc>
        <w:tc>
          <w:tcPr>
            <w:tcW w:w="1321" w:type="dxa"/>
            <w:tcBorders/>
          </w:tcPr>
          <w:p>
            <w:pPr>
              <w:pStyle w:val="Compact"/>
              <w:spacing w:before="36" w:after="36"/>
              <w:jc w:val="right"/>
              <w:rPr/>
            </w:pPr>
            <w:r>
              <w:rPr/>
              <w:t>37.84269</w:t>
            </w:r>
          </w:p>
        </w:tc>
        <w:tc>
          <w:tcPr>
            <w:tcW w:w="1545" w:type="dxa"/>
            <w:tcBorders/>
          </w:tcPr>
          <w:p>
            <w:pPr>
              <w:pStyle w:val="Compact"/>
              <w:spacing w:before="36" w:after="36"/>
              <w:jc w:val="right"/>
              <w:rPr/>
            </w:pPr>
            <w:r>
              <w:rPr/>
              <w:t>7</w:t>
            </w:r>
          </w:p>
        </w:tc>
        <w:tc>
          <w:tcPr>
            <w:tcW w:w="1530" w:type="dxa"/>
            <w:tcBorders/>
          </w:tcPr>
          <w:p>
            <w:pPr>
              <w:pStyle w:val="Compact"/>
              <w:spacing w:before="36" w:after="36"/>
              <w:jc w:val="right"/>
              <w:rPr/>
            </w:pPr>
            <w:r>
              <w:rPr/>
              <w:t>NA</w:t>
            </w:r>
          </w:p>
        </w:tc>
        <w:tc>
          <w:tcPr>
            <w:tcW w:w="1620" w:type="dxa"/>
            <w:tcBorders/>
          </w:tcPr>
          <w:p>
            <w:pPr>
              <w:pStyle w:val="Compact"/>
              <w:spacing w:before="36" w:after="36"/>
              <w:jc w:val="right"/>
              <w:rPr/>
            </w:pPr>
            <w:r>
              <w:rPr/>
              <w:t>NA</w:t>
            </w:r>
          </w:p>
        </w:tc>
      </w:tr>
      <w:tr>
        <w:trPr/>
        <w:tc>
          <w:tcPr>
            <w:tcW w:w="1320" w:type="dxa"/>
            <w:tcBorders/>
          </w:tcPr>
          <w:p>
            <w:pPr>
              <w:pStyle w:val="Compact"/>
              <w:spacing w:before="36" w:after="36"/>
              <w:jc w:val="left"/>
              <w:rPr/>
            </w:pPr>
            <w:r>
              <w:rPr/>
              <w:t>SDSB</w:t>
            </w:r>
          </w:p>
        </w:tc>
        <w:tc>
          <w:tcPr>
            <w:tcW w:w="1319" w:type="dxa"/>
            <w:tcBorders/>
          </w:tcPr>
          <w:p>
            <w:pPr>
              <w:pStyle w:val="Compact"/>
              <w:spacing w:before="36" w:after="36"/>
              <w:jc w:val="right"/>
              <w:rPr/>
            </w:pPr>
            <w:r>
              <w:rPr/>
              <w:t>-120.0946</w:t>
            </w:r>
          </w:p>
        </w:tc>
        <w:tc>
          <w:tcPr>
            <w:tcW w:w="1321" w:type="dxa"/>
            <w:tcBorders/>
          </w:tcPr>
          <w:p>
            <w:pPr>
              <w:pStyle w:val="Compact"/>
              <w:spacing w:before="36" w:after="36"/>
              <w:jc w:val="right"/>
              <w:rPr/>
            </w:pPr>
            <w:r>
              <w:rPr/>
              <w:t>38.13619</w:t>
            </w:r>
          </w:p>
        </w:tc>
        <w:tc>
          <w:tcPr>
            <w:tcW w:w="1545" w:type="dxa"/>
            <w:tcBorders/>
          </w:tcPr>
          <w:p>
            <w:pPr>
              <w:pStyle w:val="Compact"/>
              <w:spacing w:before="36" w:after="36"/>
              <w:jc w:val="right"/>
              <w:rPr/>
            </w:pPr>
            <w:r>
              <w:rPr/>
              <w:t>NA</w:t>
            </w:r>
          </w:p>
        </w:tc>
        <w:tc>
          <w:tcPr>
            <w:tcW w:w="1530" w:type="dxa"/>
            <w:tcBorders/>
          </w:tcPr>
          <w:p>
            <w:pPr>
              <w:pStyle w:val="Compact"/>
              <w:spacing w:before="36" w:after="36"/>
              <w:jc w:val="right"/>
              <w:rPr/>
            </w:pPr>
            <w:r>
              <w:rPr/>
              <w:t>NA</w:t>
            </w:r>
          </w:p>
        </w:tc>
        <w:tc>
          <w:tcPr>
            <w:tcW w:w="1620" w:type="dxa"/>
            <w:tcBorders/>
          </w:tcPr>
          <w:p>
            <w:pPr>
              <w:pStyle w:val="Compact"/>
              <w:spacing w:before="36" w:after="36"/>
              <w:jc w:val="right"/>
              <w:rPr/>
            </w:pPr>
            <w:r>
              <w:rPr/>
              <w:t>10</w:t>
            </w:r>
          </w:p>
        </w:tc>
      </w:tr>
      <w:tr>
        <w:trPr/>
        <w:tc>
          <w:tcPr>
            <w:tcW w:w="1320" w:type="dxa"/>
            <w:tcBorders/>
          </w:tcPr>
          <w:p>
            <w:pPr>
              <w:pStyle w:val="Compact"/>
              <w:spacing w:before="36" w:after="36"/>
              <w:jc w:val="left"/>
              <w:rPr/>
            </w:pPr>
            <w:r>
              <w:rPr/>
              <w:t>SHLZ</w:t>
            </w:r>
          </w:p>
        </w:tc>
        <w:tc>
          <w:tcPr>
            <w:tcW w:w="1319" w:type="dxa"/>
            <w:tcBorders/>
          </w:tcPr>
          <w:p>
            <w:pPr>
              <w:pStyle w:val="Compact"/>
              <w:spacing w:before="36" w:after="36"/>
              <w:jc w:val="right"/>
              <w:rPr/>
            </w:pPr>
            <w:r>
              <w:rPr/>
              <w:t>-119.3074</w:t>
            </w:r>
          </w:p>
        </w:tc>
        <w:tc>
          <w:tcPr>
            <w:tcW w:w="1321" w:type="dxa"/>
            <w:tcBorders/>
          </w:tcPr>
          <w:p>
            <w:pPr>
              <w:pStyle w:val="Compact"/>
              <w:spacing w:before="36" w:after="36"/>
              <w:jc w:val="right"/>
              <w:rPr/>
            </w:pPr>
            <w:r>
              <w:rPr/>
              <w:t>37.14513</w:t>
            </w:r>
          </w:p>
        </w:tc>
        <w:tc>
          <w:tcPr>
            <w:tcW w:w="1545" w:type="dxa"/>
            <w:tcBorders/>
          </w:tcPr>
          <w:p>
            <w:pPr>
              <w:pStyle w:val="Compact"/>
              <w:spacing w:before="36" w:after="36"/>
              <w:jc w:val="right"/>
              <w:rPr/>
            </w:pPr>
            <w:r>
              <w:rPr/>
              <w:t>5</w:t>
            </w:r>
          </w:p>
        </w:tc>
        <w:tc>
          <w:tcPr>
            <w:tcW w:w="1530" w:type="dxa"/>
            <w:tcBorders/>
          </w:tcPr>
          <w:p>
            <w:pPr>
              <w:pStyle w:val="Compact"/>
              <w:spacing w:before="36" w:after="36"/>
              <w:jc w:val="right"/>
              <w:rPr/>
            </w:pPr>
            <w:r>
              <w:rPr/>
              <w:t>NA</w:t>
            </w:r>
          </w:p>
        </w:tc>
        <w:tc>
          <w:tcPr>
            <w:tcW w:w="1620" w:type="dxa"/>
            <w:tcBorders/>
          </w:tcPr>
          <w:p>
            <w:pPr>
              <w:pStyle w:val="Compact"/>
              <w:spacing w:before="36" w:after="36"/>
              <w:jc w:val="right"/>
              <w:rPr/>
            </w:pPr>
            <w:r>
              <w:rPr/>
              <w:t>5</w:t>
            </w:r>
          </w:p>
        </w:tc>
      </w:tr>
      <w:tr>
        <w:trPr/>
        <w:tc>
          <w:tcPr>
            <w:tcW w:w="1320" w:type="dxa"/>
            <w:tcBorders/>
          </w:tcPr>
          <w:p>
            <w:pPr>
              <w:pStyle w:val="Compact"/>
              <w:spacing w:before="36" w:after="36"/>
              <w:jc w:val="left"/>
              <w:rPr/>
            </w:pPr>
            <w:r>
              <w:rPr/>
              <w:t>SPLB</w:t>
            </w:r>
          </w:p>
        </w:tc>
        <w:tc>
          <w:tcPr>
            <w:tcW w:w="1319" w:type="dxa"/>
            <w:tcBorders/>
          </w:tcPr>
          <w:p>
            <w:pPr>
              <w:pStyle w:val="Compact"/>
              <w:spacing w:before="36" w:after="36"/>
              <w:jc w:val="right"/>
              <w:rPr/>
            </w:pPr>
            <w:r>
              <w:rPr/>
              <w:t>-119.5861</w:t>
            </w:r>
          </w:p>
        </w:tc>
        <w:tc>
          <w:tcPr>
            <w:tcW w:w="1321" w:type="dxa"/>
            <w:tcBorders/>
          </w:tcPr>
          <w:p>
            <w:pPr>
              <w:pStyle w:val="Compact"/>
              <w:spacing w:before="36" w:after="36"/>
              <w:jc w:val="right"/>
              <w:rPr/>
            </w:pPr>
            <w:r>
              <w:rPr/>
              <w:t>37.84719</w:t>
            </w:r>
          </w:p>
        </w:tc>
        <w:tc>
          <w:tcPr>
            <w:tcW w:w="1545" w:type="dxa"/>
            <w:tcBorders/>
          </w:tcPr>
          <w:p>
            <w:pPr>
              <w:pStyle w:val="Compact"/>
              <w:spacing w:before="36" w:after="36"/>
              <w:jc w:val="right"/>
              <w:rPr/>
            </w:pPr>
            <w:r>
              <w:rPr/>
              <w:t>9</w:t>
            </w:r>
          </w:p>
        </w:tc>
        <w:tc>
          <w:tcPr>
            <w:tcW w:w="1530" w:type="dxa"/>
            <w:tcBorders/>
          </w:tcPr>
          <w:p>
            <w:pPr>
              <w:pStyle w:val="Compact"/>
              <w:spacing w:before="36" w:after="36"/>
              <w:jc w:val="right"/>
              <w:rPr/>
            </w:pPr>
            <w:r>
              <w:rPr/>
              <w:t>NA</w:t>
            </w:r>
          </w:p>
        </w:tc>
        <w:tc>
          <w:tcPr>
            <w:tcW w:w="1620" w:type="dxa"/>
            <w:tcBorders/>
          </w:tcPr>
          <w:p>
            <w:pPr>
              <w:pStyle w:val="Compact"/>
              <w:spacing w:before="36" w:after="36"/>
              <w:jc w:val="right"/>
              <w:rPr/>
            </w:pPr>
            <w:r>
              <w:rPr/>
              <w:t>NA</w:t>
            </w:r>
          </w:p>
        </w:tc>
      </w:tr>
      <w:tr>
        <w:trPr/>
        <w:tc>
          <w:tcPr>
            <w:tcW w:w="1320" w:type="dxa"/>
            <w:tcBorders/>
          </w:tcPr>
          <w:p>
            <w:pPr>
              <w:pStyle w:val="Compact"/>
              <w:spacing w:before="36" w:after="36"/>
              <w:jc w:val="left"/>
              <w:rPr/>
            </w:pPr>
            <w:r>
              <w:rPr/>
              <w:t>TRTZ</w:t>
            </w:r>
          </w:p>
        </w:tc>
        <w:tc>
          <w:tcPr>
            <w:tcW w:w="1319" w:type="dxa"/>
            <w:tcBorders/>
          </w:tcPr>
          <w:p>
            <w:pPr>
              <w:pStyle w:val="Compact"/>
              <w:spacing w:before="36" w:after="36"/>
              <w:jc w:val="right"/>
              <w:rPr/>
            </w:pPr>
            <w:r>
              <w:rPr/>
              <w:t>-119.7053</w:t>
            </w:r>
          </w:p>
        </w:tc>
        <w:tc>
          <w:tcPr>
            <w:tcW w:w="1321" w:type="dxa"/>
            <w:tcBorders/>
          </w:tcPr>
          <w:p>
            <w:pPr>
              <w:pStyle w:val="Compact"/>
              <w:spacing w:before="36" w:after="36"/>
              <w:jc w:val="right"/>
              <w:rPr/>
            </w:pPr>
            <w:r>
              <w:rPr/>
              <w:t>37.71610</w:t>
            </w:r>
          </w:p>
        </w:tc>
        <w:tc>
          <w:tcPr>
            <w:tcW w:w="1545" w:type="dxa"/>
            <w:tcBorders/>
          </w:tcPr>
          <w:p>
            <w:pPr>
              <w:pStyle w:val="Compact"/>
              <w:spacing w:before="36" w:after="36"/>
              <w:jc w:val="right"/>
              <w:rPr/>
            </w:pPr>
            <w:r>
              <w:rPr/>
              <w:t>10</w:t>
            </w:r>
          </w:p>
        </w:tc>
        <w:tc>
          <w:tcPr>
            <w:tcW w:w="1530" w:type="dxa"/>
            <w:tcBorders/>
          </w:tcPr>
          <w:p>
            <w:pPr>
              <w:pStyle w:val="Compact"/>
              <w:spacing w:before="36" w:after="36"/>
              <w:jc w:val="right"/>
              <w:rPr/>
            </w:pPr>
            <w:r>
              <w:rPr/>
              <w:t>NA</w:t>
            </w:r>
          </w:p>
        </w:tc>
        <w:tc>
          <w:tcPr>
            <w:tcW w:w="1620" w:type="dxa"/>
            <w:tcBorders/>
          </w:tcPr>
          <w:p>
            <w:pPr>
              <w:pStyle w:val="Compact"/>
              <w:spacing w:before="36" w:after="36"/>
              <w:jc w:val="right"/>
              <w:rPr/>
            </w:pPr>
            <w:r>
              <w:rPr/>
              <w:t>NA</w:t>
            </w:r>
          </w:p>
        </w:tc>
      </w:tr>
      <w:tr>
        <w:trPr/>
        <w:tc>
          <w:tcPr>
            <w:tcW w:w="1320" w:type="dxa"/>
            <w:tcBorders/>
          </w:tcPr>
          <w:p>
            <w:pPr>
              <w:pStyle w:val="Compact"/>
              <w:spacing w:before="36" w:after="36"/>
              <w:jc w:val="left"/>
              <w:rPr/>
            </w:pPr>
            <w:r>
              <w:rPr/>
              <w:t>TWGB</w:t>
            </w:r>
          </w:p>
        </w:tc>
        <w:tc>
          <w:tcPr>
            <w:tcW w:w="1319" w:type="dxa"/>
            <w:tcBorders/>
          </w:tcPr>
          <w:p>
            <w:pPr>
              <w:pStyle w:val="Compact"/>
              <w:spacing w:before="36" w:after="36"/>
              <w:jc w:val="right"/>
              <w:rPr/>
            </w:pPr>
            <w:r>
              <w:rPr/>
              <w:t>-119.9513</w:t>
            </w:r>
          </w:p>
        </w:tc>
        <w:tc>
          <w:tcPr>
            <w:tcW w:w="1321" w:type="dxa"/>
            <w:tcBorders/>
          </w:tcPr>
          <w:p>
            <w:pPr>
              <w:pStyle w:val="Compact"/>
              <w:spacing w:before="36" w:after="36"/>
              <w:jc w:val="right"/>
              <w:rPr/>
            </w:pPr>
            <w:r>
              <w:rPr/>
              <w:t>37.85882</w:t>
            </w:r>
          </w:p>
        </w:tc>
        <w:tc>
          <w:tcPr>
            <w:tcW w:w="1545" w:type="dxa"/>
            <w:tcBorders/>
          </w:tcPr>
          <w:p>
            <w:pPr>
              <w:pStyle w:val="Compact"/>
              <w:spacing w:before="36" w:after="36"/>
              <w:jc w:val="right"/>
              <w:rPr/>
            </w:pPr>
            <w:r>
              <w:rPr/>
              <w:t>NA</w:t>
            </w:r>
          </w:p>
        </w:tc>
        <w:tc>
          <w:tcPr>
            <w:tcW w:w="1530" w:type="dxa"/>
            <w:tcBorders/>
          </w:tcPr>
          <w:p>
            <w:pPr>
              <w:pStyle w:val="Compact"/>
              <w:spacing w:before="36" w:after="36"/>
              <w:jc w:val="right"/>
              <w:rPr/>
            </w:pPr>
            <w:r>
              <w:rPr/>
              <w:t>NA</w:t>
            </w:r>
          </w:p>
        </w:tc>
        <w:tc>
          <w:tcPr>
            <w:tcW w:w="1620" w:type="dxa"/>
            <w:tcBorders/>
          </w:tcPr>
          <w:p>
            <w:pPr>
              <w:pStyle w:val="Compact"/>
              <w:spacing w:before="36" w:after="36"/>
              <w:jc w:val="right"/>
              <w:rPr/>
            </w:pPr>
            <w:r>
              <w:rPr/>
              <w:t>9</w:t>
            </w:r>
          </w:p>
        </w:tc>
      </w:tr>
      <w:tr>
        <w:trPr/>
        <w:tc>
          <w:tcPr>
            <w:tcW w:w="1320" w:type="dxa"/>
            <w:tcBorders/>
          </w:tcPr>
          <w:p>
            <w:pPr>
              <w:pStyle w:val="Compact"/>
              <w:spacing w:before="36" w:after="36"/>
              <w:jc w:val="left"/>
              <w:rPr/>
            </w:pPr>
            <w:r>
              <w:rPr/>
              <w:t>WCFB</w:t>
            </w:r>
          </w:p>
        </w:tc>
        <w:tc>
          <w:tcPr>
            <w:tcW w:w="1319" w:type="dxa"/>
            <w:tcBorders/>
          </w:tcPr>
          <w:p>
            <w:pPr>
              <w:pStyle w:val="Compact"/>
              <w:spacing w:before="36" w:after="36"/>
              <w:jc w:val="right"/>
              <w:rPr/>
            </w:pPr>
            <w:r>
              <w:rPr/>
              <w:t>-119.7191</w:t>
            </w:r>
          </w:p>
        </w:tc>
        <w:tc>
          <w:tcPr>
            <w:tcW w:w="1321" w:type="dxa"/>
            <w:tcBorders/>
          </w:tcPr>
          <w:p>
            <w:pPr>
              <w:pStyle w:val="Compact"/>
              <w:spacing w:before="36" w:after="36"/>
              <w:jc w:val="right"/>
              <w:rPr/>
            </w:pPr>
            <w:r>
              <w:rPr/>
              <w:t>37.72359</w:t>
            </w:r>
          </w:p>
        </w:tc>
        <w:tc>
          <w:tcPr>
            <w:tcW w:w="1545" w:type="dxa"/>
            <w:tcBorders/>
          </w:tcPr>
          <w:p>
            <w:pPr>
              <w:pStyle w:val="Compact"/>
              <w:spacing w:before="36" w:after="36"/>
              <w:jc w:val="right"/>
              <w:rPr/>
            </w:pPr>
            <w:r>
              <w:rPr/>
              <w:t>11</w:t>
            </w:r>
          </w:p>
        </w:tc>
        <w:tc>
          <w:tcPr>
            <w:tcW w:w="1530" w:type="dxa"/>
            <w:tcBorders/>
          </w:tcPr>
          <w:p>
            <w:pPr>
              <w:pStyle w:val="Compact"/>
              <w:spacing w:before="36" w:after="36"/>
              <w:jc w:val="right"/>
              <w:rPr/>
            </w:pPr>
            <w:r>
              <w:rPr/>
              <w:t>NA</w:t>
            </w:r>
          </w:p>
        </w:tc>
        <w:tc>
          <w:tcPr>
            <w:tcW w:w="1620" w:type="dxa"/>
            <w:tcBorders/>
          </w:tcPr>
          <w:p>
            <w:pPr>
              <w:pStyle w:val="Compact"/>
              <w:spacing w:before="36" w:after="36"/>
              <w:jc w:val="right"/>
              <w:rPr/>
            </w:pPr>
            <w:r>
              <w:rPr/>
              <w:t>12</w:t>
            </w:r>
          </w:p>
        </w:tc>
      </w:tr>
      <w:tr>
        <w:trPr/>
        <w:tc>
          <w:tcPr>
            <w:tcW w:w="1320" w:type="dxa"/>
            <w:tcBorders/>
          </w:tcPr>
          <w:p>
            <w:pPr>
              <w:pStyle w:val="Compact"/>
              <w:spacing w:before="36" w:after="36"/>
              <w:jc w:val="left"/>
              <w:rPr/>
            </w:pPr>
            <w:r>
              <w:rPr/>
              <w:t>WSHB</w:t>
            </w:r>
          </w:p>
        </w:tc>
        <w:tc>
          <w:tcPr>
            <w:tcW w:w="1319" w:type="dxa"/>
            <w:tcBorders/>
          </w:tcPr>
          <w:p>
            <w:pPr>
              <w:pStyle w:val="Compact"/>
              <w:spacing w:before="36" w:after="36"/>
              <w:jc w:val="right"/>
              <w:rPr/>
            </w:pPr>
            <w:r>
              <w:rPr/>
              <w:t>-119.6479</w:t>
            </w:r>
          </w:p>
        </w:tc>
        <w:tc>
          <w:tcPr>
            <w:tcW w:w="1321" w:type="dxa"/>
            <w:tcBorders/>
          </w:tcPr>
          <w:p>
            <w:pPr>
              <w:pStyle w:val="Compact"/>
              <w:spacing w:before="36" w:after="36"/>
              <w:jc w:val="right"/>
              <w:rPr/>
            </w:pPr>
            <w:r>
              <w:rPr/>
              <w:t>37.54334</w:t>
            </w:r>
          </w:p>
        </w:tc>
        <w:tc>
          <w:tcPr>
            <w:tcW w:w="1545" w:type="dxa"/>
            <w:tcBorders/>
          </w:tcPr>
          <w:p>
            <w:pPr>
              <w:pStyle w:val="Compact"/>
              <w:spacing w:before="36" w:after="36"/>
              <w:jc w:val="right"/>
              <w:rPr/>
            </w:pPr>
            <w:r>
              <w:rPr/>
              <w:t>NA</w:t>
            </w:r>
          </w:p>
        </w:tc>
        <w:tc>
          <w:tcPr>
            <w:tcW w:w="1530" w:type="dxa"/>
            <w:tcBorders/>
          </w:tcPr>
          <w:p>
            <w:pPr>
              <w:pStyle w:val="Compact"/>
              <w:spacing w:before="36" w:after="36"/>
              <w:jc w:val="right"/>
              <w:rPr/>
            </w:pPr>
            <w:r>
              <w:rPr/>
              <w:t>NA</w:t>
            </w:r>
          </w:p>
        </w:tc>
        <w:tc>
          <w:tcPr>
            <w:tcW w:w="1620" w:type="dxa"/>
            <w:tcBorders/>
          </w:tcPr>
          <w:p>
            <w:pPr>
              <w:pStyle w:val="Compact"/>
              <w:spacing w:before="36" w:after="36"/>
              <w:jc w:val="right"/>
              <w:rPr/>
            </w:pPr>
            <w:r>
              <w:rPr/>
              <w:t>12</w:t>
            </w:r>
          </w:p>
        </w:tc>
      </w:tr>
      <w:tr>
        <w:trPr/>
        <w:tc>
          <w:tcPr>
            <w:tcW w:w="1320" w:type="dxa"/>
            <w:tcBorders/>
          </w:tcPr>
          <w:p>
            <w:pPr>
              <w:pStyle w:val="Compact"/>
              <w:spacing w:before="36" w:after="36"/>
              <w:jc w:val="left"/>
              <w:rPr/>
            </w:pPr>
            <w:r>
              <w:rPr/>
              <w:t>YCNB</w:t>
            </w:r>
          </w:p>
        </w:tc>
        <w:tc>
          <w:tcPr>
            <w:tcW w:w="1319" w:type="dxa"/>
            <w:tcBorders/>
          </w:tcPr>
          <w:p>
            <w:pPr>
              <w:pStyle w:val="Compact"/>
              <w:spacing w:before="36" w:after="36"/>
              <w:jc w:val="right"/>
              <w:rPr/>
            </w:pPr>
            <w:r>
              <w:rPr/>
              <w:t>-119.5728</w:t>
            </w:r>
          </w:p>
        </w:tc>
        <w:tc>
          <w:tcPr>
            <w:tcW w:w="1321" w:type="dxa"/>
            <w:tcBorders/>
          </w:tcPr>
          <w:p>
            <w:pPr>
              <w:pStyle w:val="Compact"/>
              <w:spacing w:before="36" w:after="36"/>
              <w:jc w:val="right"/>
              <w:rPr/>
            </w:pPr>
            <w:r>
              <w:rPr/>
              <w:t>37.84390</w:t>
            </w:r>
          </w:p>
        </w:tc>
        <w:tc>
          <w:tcPr>
            <w:tcW w:w="1545" w:type="dxa"/>
            <w:tcBorders/>
          </w:tcPr>
          <w:p>
            <w:pPr>
              <w:pStyle w:val="Compact"/>
              <w:spacing w:before="36" w:after="36"/>
              <w:jc w:val="right"/>
              <w:rPr/>
            </w:pPr>
            <w:r>
              <w:rPr/>
              <w:t>10</w:t>
            </w:r>
          </w:p>
        </w:tc>
        <w:tc>
          <w:tcPr>
            <w:tcW w:w="1530" w:type="dxa"/>
            <w:tcBorders/>
          </w:tcPr>
          <w:p>
            <w:pPr>
              <w:pStyle w:val="Compact"/>
              <w:spacing w:before="36" w:after="36"/>
              <w:jc w:val="right"/>
              <w:rPr/>
            </w:pPr>
            <w:r>
              <w:rPr/>
              <w:t>NA</w:t>
            </w:r>
          </w:p>
        </w:tc>
        <w:tc>
          <w:tcPr>
            <w:tcW w:w="1620" w:type="dxa"/>
            <w:tcBorders/>
          </w:tcPr>
          <w:p>
            <w:pPr>
              <w:pStyle w:val="Compact"/>
              <w:spacing w:before="36" w:after="36"/>
              <w:jc w:val="right"/>
              <w:rPr/>
            </w:pPr>
            <w:r>
              <w:rPr/>
              <w:t>NA</w:t>
            </w:r>
            <w:bookmarkStart w:id="106" w:name="table-1"/>
            <w:bookmarkEnd w:id="106"/>
          </w:p>
        </w:tc>
      </w:tr>
    </w:tbl>
    <w:p>
      <w:pPr>
        <w:pStyle w:val="Heading2"/>
        <w:rPr/>
      </w:pPr>
      <w:r>
        <w:rPr/>
        <w:t>13.9 Table 2</w:t>
      </w:r>
    </w:p>
    <w:p>
      <w:pPr>
        <w:pStyle w:val="TableCaption"/>
        <w:rPr/>
      </w:pPr>
      <w:r>
        <w:rPr/>
        <w:t>Table 2: Prevalence of phyla in samples per species.</w:t>
      </w:r>
    </w:p>
    <w:tbl>
      <w:tblPr>
        <w:tblStyle w:val="Table"/>
        <w:tblW w:w="7920" w:type="dxa"/>
        <w:jc w:val="left"/>
        <w:tblInd w:w="0" w:type="dxa"/>
        <w:tblLayout w:type="fixed"/>
        <w:tblCellMar>
          <w:top w:w="0" w:type="dxa"/>
          <w:left w:w="108" w:type="dxa"/>
          <w:bottom w:w="0" w:type="dxa"/>
          <w:right w:w="108" w:type="dxa"/>
        </w:tblCellMar>
        <w:tblLook w:val="0020" w:noHBand="0" w:noVBand="0" w:firstColumn="0" w:lastRow="0" w:lastColumn="0" w:firstRow="1"/>
      </w:tblPr>
      <w:tblGrid>
        <w:gridCol w:w="2640"/>
        <w:gridCol w:w="2640"/>
        <w:gridCol w:w="2640"/>
      </w:tblGrid>
      <w:tr>
        <w:trPr>
          <w:tblHeader w:val="true"/>
        </w:trPr>
        <w:tc>
          <w:tcPr>
            <w:tcW w:w="2640" w:type="dxa"/>
            <w:tcBorders>
              <w:bottom w:val="single" w:sz="6" w:space="0" w:color="000000"/>
            </w:tcBorders>
            <w:vAlign w:val="bottom"/>
          </w:tcPr>
          <w:p>
            <w:pPr>
              <w:pStyle w:val="Compact"/>
              <w:spacing w:before="36" w:after="36"/>
              <w:jc w:val="left"/>
              <w:rPr/>
            </w:pPr>
            <w:r>
              <w:rPr/>
              <w:t>Species</w:t>
            </w:r>
          </w:p>
        </w:tc>
        <w:tc>
          <w:tcPr>
            <w:tcW w:w="2640" w:type="dxa"/>
            <w:tcBorders>
              <w:bottom w:val="single" w:sz="6" w:space="0" w:color="000000"/>
            </w:tcBorders>
            <w:vAlign w:val="bottom"/>
          </w:tcPr>
          <w:p>
            <w:pPr>
              <w:pStyle w:val="Compact"/>
              <w:spacing w:before="36" w:after="36"/>
              <w:jc w:val="left"/>
              <w:rPr/>
            </w:pPr>
            <w:r>
              <w:rPr/>
              <w:t>Phylum</w:t>
            </w:r>
          </w:p>
        </w:tc>
        <w:tc>
          <w:tcPr>
            <w:tcW w:w="2640" w:type="dxa"/>
            <w:tcBorders>
              <w:bottom w:val="single" w:sz="6" w:space="0" w:color="000000"/>
            </w:tcBorders>
            <w:vAlign w:val="bottom"/>
          </w:tcPr>
          <w:p>
            <w:pPr>
              <w:pStyle w:val="Compact"/>
              <w:spacing w:before="36" w:after="36"/>
              <w:jc w:val="right"/>
              <w:rPr/>
            </w:pPr>
            <w:r>
              <w:rPr/>
              <w:t>Ocurrance</w:t>
            </w:r>
          </w:p>
        </w:tc>
      </w:tr>
      <w:tr>
        <w:trPr/>
        <w:tc>
          <w:tcPr>
            <w:tcW w:w="2640" w:type="dxa"/>
            <w:tcBorders/>
          </w:tcPr>
          <w:p>
            <w:pPr>
              <w:pStyle w:val="Compact"/>
              <w:spacing w:before="36" w:after="36"/>
              <w:jc w:val="left"/>
              <w:rPr/>
            </w:pPr>
            <w:r>
              <w:rPr/>
              <w:t>M. laciniatus</w:t>
            </w:r>
          </w:p>
        </w:tc>
        <w:tc>
          <w:tcPr>
            <w:tcW w:w="2640" w:type="dxa"/>
            <w:tcBorders/>
          </w:tcPr>
          <w:p>
            <w:pPr>
              <w:pStyle w:val="Compact"/>
              <w:spacing w:before="36" w:after="36"/>
              <w:jc w:val="left"/>
              <w:rPr/>
            </w:pPr>
            <w:r>
              <w:rPr/>
              <w:t>Ascomycota</w:t>
            </w:r>
          </w:p>
        </w:tc>
        <w:tc>
          <w:tcPr>
            <w:tcW w:w="2640" w:type="dxa"/>
            <w:tcBorders/>
          </w:tcPr>
          <w:p>
            <w:pPr>
              <w:pStyle w:val="Compact"/>
              <w:spacing w:before="36" w:after="36"/>
              <w:jc w:val="right"/>
              <w:rPr/>
            </w:pPr>
            <w:r>
              <w:rPr/>
              <w:t>57</w:t>
            </w:r>
          </w:p>
        </w:tc>
      </w:tr>
      <w:tr>
        <w:trPr/>
        <w:tc>
          <w:tcPr>
            <w:tcW w:w="2640" w:type="dxa"/>
            <w:tcBorders/>
          </w:tcPr>
          <w:p>
            <w:pPr>
              <w:pStyle w:val="Compact"/>
              <w:spacing w:before="36" w:after="36"/>
              <w:jc w:val="left"/>
              <w:rPr/>
            </w:pPr>
            <w:r>
              <w:rPr/>
              <w:t>M. laciniatus</w:t>
            </w:r>
          </w:p>
        </w:tc>
        <w:tc>
          <w:tcPr>
            <w:tcW w:w="2640" w:type="dxa"/>
            <w:tcBorders/>
          </w:tcPr>
          <w:p>
            <w:pPr>
              <w:pStyle w:val="Compact"/>
              <w:spacing w:before="36" w:after="36"/>
              <w:jc w:val="left"/>
              <w:rPr/>
            </w:pPr>
            <w:r>
              <w:rPr/>
              <w:t>Basidiomycota</w:t>
            </w:r>
          </w:p>
        </w:tc>
        <w:tc>
          <w:tcPr>
            <w:tcW w:w="2640" w:type="dxa"/>
            <w:tcBorders/>
          </w:tcPr>
          <w:p>
            <w:pPr>
              <w:pStyle w:val="Compact"/>
              <w:spacing w:before="36" w:after="36"/>
              <w:jc w:val="right"/>
              <w:rPr/>
            </w:pPr>
            <w:r>
              <w:rPr/>
              <w:t>62</w:t>
            </w:r>
          </w:p>
        </w:tc>
      </w:tr>
      <w:tr>
        <w:trPr/>
        <w:tc>
          <w:tcPr>
            <w:tcW w:w="2640" w:type="dxa"/>
            <w:tcBorders/>
          </w:tcPr>
          <w:p>
            <w:pPr>
              <w:pStyle w:val="Compact"/>
              <w:spacing w:before="36" w:after="36"/>
              <w:jc w:val="left"/>
              <w:rPr/>
            </w:pPr>
            <w:r>
              <w:rPr/>
              <w:t>M. laciniatus</w:t>
            </w:r>
          </w:p>
        </w:tc>
        <w:tc>
          <w:tcPr>
            <w:tcW w:w="2640" w:type="dxa"/>
            <w:tcBorders/>
          </w:tcPr>
          <w:p>
            <w:pPr>
              <w:pStyle w:val="Compact"/>
              <w:spacing w:before="36" w:after="36"/>
              <w:jc w:val="left"/>
              <w:rPr/>
            </w:pPr>
            <w:r>
              <w:rPr/>
              <w:t>Mortierellomycota</w:t>
            </w:r>
          </w:p>
        </w:tc>
        <w:tc>
          <w:tcPr>
            <w:tcW w:w="2640" w:type="dxa"/>
            <w:tcBorders/>
          </w:tcPr>
          <w:p>
            <w:pPr>
              <w:pStyle w:val="Compact"/>
              <w:spacing w:before="36" w:after="36"/>
              <w:jc w:val="right"/>
              <w:rPr/>
            </w:pPr>
            <w:r>
              <w:rPr/>
              <w:t>2</w:t>
            </w:r>
          </w:p>
        </w:tc>
      </w:tr>
      <w:tr>
        <w:trPr/>
        <w:tc>
          <w:tcPr>
            <w:tcW w:w="2640" w:type="dxa"/>
            <w:tcBorders/>
          </w:tcPr>
          <w:p>
            <w:pPr>
              <w:pStyle w:val="Compact"/>
              <w:spacing w:before="36" w:after="36"/>
              <w:jc w:val="left"/>
              <w:rPr/>
            </w:pPr>
            <w:r>
              <w:rPr/>
              <w:t>M. laciniatus</w:t>
            </w:r>
          </w:p>
        </w:tc>
        <w:tc>
          <w:tcPr>
            <w:tcW w:w="2640" w:type="dxa"/>
            <w:tcBorders/>
          </w:tcPr>
          <w:p>
            <w:pPr>
              <w:pStyle w:val="Compact"/>
              <w:spacing w:before="36" w:after="36"/>
              <w:jc w:val="left"/>
              <w:rPr/>
            </w:pPr>
            <w:r>
              <w:rPr/>
              <w:t>Olpidiomycota</w:t>
            </w:r>
          </w:p>
        </w:tc>
        <w:tc>
          <w:tcPr>
            <w:tcW w:w="2640" w:type="dxa"/>
            <w:tcBorders/>
          </w:tcPr>
          <w:p>
            <w:pPr>
              <w:pStyle w:val="Compact"/>
              <w:spacing w:before="36" w:after="36"/>
              <w:jc w:val="right"/>
              <w:rPr/>
            </w:pPr>
            <w:r>
              <w:rPr/>
              <w:t>2</w:t>
            </w:r>
          </w:p>
        </w:tc>
      </w:tr>
      <w:tr>
        <w:trPr/>
        <w:tc>
          <w:tcPr>
            <w:tcW w:w="2640" w:type="dxa"/>
            <w:tcBorders/>
          </w:tcPr>
          <w:p>
            <w:pPr>
              <w:pStyle w:val="Compact"/>
              <w:spacing w:before="36" w:after="36"/>
              <w:jc w:val="left"/>
              <w:rPr/>
            </w:pPr>
            <w:r>
              <w:rPr/>
              <w:t>M. nasutus</w:t>
            </w:r>
          </w:p>
        </w:tc>
        <w:tc>
          <w:tcPr>
            <w:tcW w:w="2640" w:type="dxa"/>
            <w:tcBorders/>
          </w:tcPr>
          <w:p>
            <w:pPr>
              <w:pStyle w:val="Compact"/>
              <w:spacing w:before="36" w:after="36"/>
              <w:jc w:val="left"/>
              <w:rPr/>
            </w:pPr>
            <w:r>
              <w:rPr/>
              <w:t>Ascomycota</w:t>
            </w:r>
          </w:p>
        </w:tc>
        <w:tc>
          <w:tcPr>
            <w:tcW w:w="2640" w:type="dxa"/>
            <w:tcBorders/>
          </w:tcPr>
          <w:p>
            <w:pPr>
              <w:pStyle w:val="Compact"/>
              <w:spacing w:before="36" w:after="36"/>
              <w:jc w:val="right"/>
              <w:rPr/>
            </w:pPr>
            <w:r>
              <w:rPr/>
              <w:t>29</w:t>
            </w:r>
          </w:p>
        </w:tc>
      </w:tr>
      <w:tr>
        <w:trPr/>
        <w:tc>
          <w:tcPr>
            <w:tcW w:w="2640" w:type="dxa"/>
            <w:tcBorders/>
          </w:tcPr>
          <w:p>
            <w:pPr>
              <w:pStyle w:val="Compact"/>
              <w:spacing w:before="36" w:after="36"/>
              <w:jc w:val="left"/>
              <w:rPr/>
            </w:pPr>
            <w:r>
              <w:rPr/>
              <w:t>M. nasutus</w:t>
            </w:r>
          </w:p>
        </w:tc>
        <w:tc>
          <w:tcPr>
            <w:tcW w:w="2640" w:type="dxa"/>
            <w:tcBorders/>
          </w:tcPr>
          <w:p>
            <w:pPr>
              <w:pStyle w:val="Compact"/>
              <w:spacing w:before="36" w:after="36"/>
              <w:jc w:val="left"/>
              <w:rPr/>
            </w:pPr>
            <w:r>
              <w:rPr/>
              <w:t>Basidiomycota</w:t>
            </w:r>
          </w:p>
        </w:tc>
        <w:tc>
          <w:tcPr>
            <w:tcW w:w="2640" w:type="dxa"/>
            <w:tcBorders/>
          </w:tcPr>
          <w:p>
            <w:pPr>
              <w:pStyle w:val="Compact"/>
              <w:spacing w:before="36" w:after="36"/>
              <w:jc w:val="right"/>
              <w:rPr/>
            </w:pPr>
            <w:r>
              <w:rPr/>
              <w:t>27</w:t>
            </w:r>
          </w:p>
        </w:tc>
      </w:tr>
      <w:tr>
        <w:trPr/>
        <w:tc>
          <w:tcPr>
            <w:tcW w:w="2640" w:type="dxa"/>
            <w:tcBorders/>
          </w:tcPr>
          <w:p>
            <w:pPr>
              <w:pStyle w:val="Compact"/>
              <w:spacing w:before="36" w:after="36"/>
              <w:jc w:val="left"/>
              <w:rPr/>
            </w:pPr>
            <w:r>
              <w:rPr/>
              <w:t>M. nasutus</w:t>
            </w:r>
          </w:p>
        </w:tc>
        <w:tc>
          <w:tcPr>
            <w:tcW w:w="2640" w:type="dxa"/>
            <w:tcBorders/>
          </w:tcPr>
          <w:p>
            <w:pPr>
              <w:pStyle w:val="Compact"/>
              <w:spacing w:before="36" w:after="36"/>
              <w:jc w:val="left"/>
              <w:rPr/>
            </w:pPr>
            <w:r>
              <w:rPr/>
              <w:t>Chytridiomycota</w:t>
            </w:r>
          </w:p>
        </w:tc>
        <w:tc>
          <w:tcPr>
            <w:tcW w:w="2640" w:type="dxa"/>
            <w:tcBorders/>
          </w:tcPr>
          <w:p>
            <w:pPr>
              <w:pStyle w:val="Compact"/>
              <w:spacing w:before="36" w:after="36"/>
              <w:jc w:val="right"/>
              <w:rPr/>
            </w:pPr>
            <w:r>
              <w:rPr/>
              <w:t>2</w:t>
            </w:r>
          </w:p>
        </w:tc>
      </w:tr>
      <w:tr>
        <w:trPr/>
        <w:tc>
          <w:tcPr>
            <w:tcW w:w="2640" w:type="dxa"/>
            <w:tcBorders/>
          </w:tcPr>
          <w:p>
            <w:pPr>
              <w:pStyle w:val="Compact"/>
              <w:spacing w:before="36" w:after="36"/>
              <w:jc w:val="left"/>
              <w:rPr/>
            </w:pPr>
            <w:r>
              <w:rPr/>
              <w:t>M. nasutus</w:t>
            </w:r>
          </w:p>
        </w:tc>
        <w:tc>
          <w:tcPr>
            <w:tcW w:w="2640" w:type="dxa"/>
            <w:tcBorders/>
          </w:tcPr>
          <w:p>
            <w:pPr>
              <w:pStyle w:val="Compact"/>
              <w:spacing w:before="36" w:after="36"/>
              <w:jc w:val="left"/>
              <w:rPr/>
            </w:pPr>
            <w:r>
              <w:rPr/>
              <w:t>Mortierellomycota</w:t>
            </w:r>
          </w:p>
        </w:tc>
        <w:tc>
          <w:tcPr>
            <w:tcW w:w="2640" w:type="dxa"/>
            <w:tcBorders/>
          </w:tcPr>
          <w:p>
            <w:pPr>
              <w:pStyle w:val="Compact"/>
              <w:spacing w:before="36" w:after="36"/>
              <w:jc w:val="right"/>
              <w:rPr/>
            </w:pPr>
            <w:r>
              <w:rPr/>
              <w:t>2</w:t>
            </w:r>
          </w:p>
        </w:tc>
      </w:tr>
      <w:tr>
        <w:trPr/>
        <w:tc>
          <w:tcPr>
            <w:tcW w:w="2640" w:type="dxa"/>
            <w:tcBorders/>
          </w:tcPr>
          <w:p>
            <w:pPr>
              <w:pStyle w:val="Compact"/>
              <w:spacing w:before="36" w:after="36"/>
              <w:jc w:val="left"/>
              <w:rPr/>
            </w:pPr>
            <w:r>
              <w:rPr/>
              <w:t>M. nasutus</w:t>
            </w:r>
          </w:p>
        </w:tc>
        <w:tc>
          <w:tcPr>
            <w:tcW w:w="2640" w:type="dxa"/>
            <w:tcBorders/>
          </w:tcPr>
          <w:p>
            <w:pPr>
              <w:pStyle w:val="Compact"/>
              <w:spacing w:before="36" w:after="36"/>
              <w:jc w:val="left"/>
              <w:rPr/>
            </w:pPr>
            <w:r>
              <w:rPr/>
              <w:t>Rozellomycota</w:t>
            </w:r>
          </w:p>
        </w:tc>
        <w:tc>
          <w:tcPr>
            <w:tcW w:w="2640" w:type="dxa"/>
            <w:tcBorders/>
          </w:tcPr>
          <w:p>
            <w:pPr>
              <w:pStyle w:val="Compact"/>
              <w:spacing w:before="36" w:after="36"/>
              <w:jc w:val="right"/>
              <w:rPr/>
            </w:pPr>
            <w:r>
              <w:rPr/>
              <w:t>2</w:t>
            </w:r>
          </w:p>
        </w:tc>
      </w:tr>
      <w:tr>
        <w:trPr/>
        <w:tc>
          <w:tcPr>
            <w:tcW w:w="2640" w:type="dxa"/>
            <w:tcBorders/>
          </w:tcPr>
          <w:p>
            <w:pPr>
              <w:pStyle w:val="Compact"/>
              <w:spacing w:before="36" w:after="36"/>
              <w:jc w:val="left"/>
              <w:rPr/>
            </w:pPr>
            <w:r>
              <w:rPr/>
              <w:t>M. guttatus</w:t>
            </w:r>
          </w:p>
        </w:tc>
        <w:tc>
          <w:tcPr>
            <w:tcW w:w="2640" w:type="dxa"/>
            <w:tcBorders/>
          </w:tcPr>
          <w:p>
            <w:pPr>
              <w:pStyle w:val="Compact"/>
              <w:spacing w:before="36" w:after="36"/>
              <w:jc w:val="left"/>
              <w:rPr/>
            </w:pPr>
            <w:r>
              <w:rPr/>
              <w:t>Ascomycota</w:t>
            </w:r>
          </w:p>
        </w:tc>
        <w:tc>
          <w:tcPr>
            <w:tcW w:w="2640" w:type="dxa"/>
            <w:tcBorders/>
          </w:tcPr>
          <w:p>
            <w:pPr>
              <w:pStyle w:val="Compact"/>
              <w:spacing w:before="36" w:after="36"/>
              <w:jc w:val="right"/>
              <w:rPr/>
            </w:pPr>
            <w:r>
              <w:rPr/>
              <w:t>58</w:t>
            </w:r>
          </w:p>
        </w:tc>
      </w:tr>
      <w:tr>
        <w:trPr/>
        <w:tc>
          <w:tcPr>
            <w:tcW w:w="2640" w:type="dxa"/>
            <w:tcBorders/>
          </w:tcPr>
          <w:p>
            <w:pPr>
              <w:pStyle w:val="Compact"/>
              <w:spacing w:before="36" w:after="36"/>
              <w:jc w:val="left"/>
              <w:rPr/>
            </w:pPr>
            <w:r>
              <w:rPr/>
              <w:t>M. guttatus</w:t>
            </w:r>
          </w:p>
        </w:tc>
        <w:tc>
          <w:tcPr>
            <w:tcW w:w="2640" w:type="dxa"/>
            <w:tcBorders/>
          </w:tcPr>
          <w:p>
            <w:pPr>
              <w:pStyle w:val="Compact"/>
              <w:spacing w:before="36" w:after="36"/>
              <w:jc w:val="left"/>
              <w:rPr/>
            </w:pPr>
            <w:r>
              <w:rPr/>
              <w:t>Basidiomycota</w:t>
            </w:r>
          </w:p>
        </w:tc>
        <w:tc>
          <w:tcPr>
            <w:tcW w:w="2640" w:type="dxa"/>
            <w:tcBorders/>
          </w:tcPr>
          <w:p>
            <w:pPr>
              <w:pStyle w:val="Compact"/>
              <w:spacing w:before="36" w:after="36"/>
              <w:jc w:val="right"/>
              <w:rPr/>
            </w:pPr>
            <w:r>
              <w:rPr/>
              <w:t>63</w:t>
            </w:r>
          </w:p>
        </w:tc>
      </w:tr>
      <w:tr>
        <w:trPr/>
        <w:tc>
          <w:tcPr>
            <w:tcW w:w="2640" w:type="dxa"/>
            <w:tcBorders/>
          </w:tcPr>
          <w:p>
            <w:pPr>
              <w:pStyle w:val="Compact"/>
              <w:spacing w:before="36" w:after="36"/>
              <w:jc w:val="left"/>
              <w:rPr/>
            </w:pPr>
            <w:r>
              <w:rPr/>
              <w:t>M. guttatus</w:t>
            </w:r>
          </w:p>
        </w:tc>
        <w:tc>
          <w:tcPr>
            <w:tcW w:w="2640" w:type="dxa"/>
            <w:tcBorders/>
          </w:tcPr>
          <w:p>
            <w:pPr>
              <w:pStyle w:val="Compact"/>
              <w:spacing w:before="36" w:after="36"/>
              <w:jc w:val="left"/>
              <w:rPr/>
            </w:pPr>
            <w:r>
              <w:rPr/>
              <w:t>Mortierellomycota</w:t>
            </w:r>
          </w:p>
        </w:tc>
        <w:tc>
          <w:tcPr>
            <w:tcW w:w="2640" w:type="dxa"/>
            <w:tcBorders/>
          </w:tcPr>
          <w:p>
            <w:pPr>
              <w:pStyle w:val="Compact"/>
              <w:spacing w:before="36" w:after="36"/>
              <w:jc w:val="right"/>
              <w:rPr/>
            </w:pPr>
            <w:r>
              <w:rPr/>
              <w:t>2</w:t>
            </w:r>
          </w:p>
        </w:tc>
      </w:tr>
      <w:tr>
        <w:trPr/>
        <w:tc>
          <w:tcPr>
            <w:tcW w:w="2640" w:type="dxa"/>
            <w:tcBorders/>
          </w:tcPr>
          <w:p>
            <w:pPr>
              <w:pStyle w:val="Compact"/>
              <w:spacing w:before="36" w:after="36"/>
              <w:jc w:val="left"/>
              <w:rPr/>
            </w:pPr>
            <w:r>
              <w:rPr/>
              <w:t>M. guttatus</w:t>
            </w:r>
          </w:p>
        </w:tc>
        <w:tc>
          <w:tcPr>
            <w:tcW w:w="2640" w:type="dxa"/>
            <w:tcBorders/>
          </w:tcPr>
          <w:p>
            <w:pPr>
              <w:pStyle w:val="Compact"/>
              <w:spacing w:before="36" w:after="36"/>
              <w:jc w:val="left"/>
              <w:rPr/>
            </w:pPr>
            <w:r>
              <w:rPr/>
              <w:t>Olpidiomycota</w:t>
            </w:r>
          </w:p>
        </w:tc>
        <w:tc>
          <w:tcPr>
            <w:tcW w:w="2640" w:type="dxa"/>
            <w:tcBorders/>
          </w:tcPr>
          <w:p>
            <w:pPr>
              <w:pStyle w:val="Compact"/>
              <w:spacing w:before="36" w:after="36"/>
              <w:jc w:val="right"/>
              <w:rPr/>
            </w:pPr>
            <w:r>
              <w:rPr/>
              <w:t>1</w:t>
            </w:r>
          </w:p>
        </w:tc>
      </w:tr>
    </w:tbl>
    <w:p>
      <w:pPr>
        <w:pStyle w:val="Heading2"/>
        <w:rPr/>
      </w:pPr>
      <w:r>
        <w:rPr/>
        <w:t>13.10 Supplementary methods</w:t>
      </w:r>
    </w:p>
    <w:p>
      <w:pPr>
        <w:pStyle w:val="Heading3"/>
        <w:rPr/>
      </w:pPr>
      <w:bookmarkStart w:id="107" w:name="illumina-truseq-adapters"/>
      <w:r>
        <w:rPr/>
        <w:t>13.10.1 Illumina TruSeq adapters</w:t>
      </w:r>
    </w:p>
    <w:p>
      <w:pPr>
        <w:pStyle w:val="FirstParagraph"/>
        <w:rPr/>
      </w:pPr>
      <w:r>
        <w:rPr/>
        <w:t>The modified primers for the first PCR (adapter ligation and ITS1 amplification) were as follows: 5’ CACTCTTTCCCTACACGACGCTCTTCCGATCTCTTGGTCATTTAGAGGAAGTAA 3’ (forward) and 5’ GTGACTGGAGTTCAGACGTGTGCTCTTCCGATCTGCTGCGTTCTTCATCGATGC 3’ (reverse).</w:t>
      </w:r>
    </w:p>
    <w:p>
      <w:pPr>
        <w:pStyle w:val="BodyText"/>
        <w:spacing w:lineRule="auto" w:line="480" w:before="180" w:after="180"/>
        <w:rPr/>
      </w:pPr>
      <w:bookmarkStart w:id="108" w:name="supplementary-material"/>
      <w:bookmarkStart w:id="109" w:name="illumina-truseq-adapters"/>
      <w:r>
        <w:rPr/>
        <w:t>See (Gardes &amp; Bruns, 1993) and (White et al., 1990) for more details.</w:t>
      </w:r>
      <w:bookmarkEnd w:id="108"/>
      <w:bookmarkEnd w:id="109"/>
    </w:p>
    <w:sectPr>
      <w:type w:val="nextPage"/>
      <w:pgSz w:w="12240" w:h="15840"/>
      <w:pgMar w:left="1440" w:right="1440" w:gutter="0" w:header="0" w:top="1440" w:footer="0" w:bottom="1440"/>
      <w:lnNumType w:countBy="1" w:restart="continuous" w:distance="288"/>
      <w:pgNumType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Tinos">
    <w:charset w:val="01"/>
    <w:family w:val="roman"/>
    <w:pitch w:val="variable"/>
  </w:font>
  <w:font w:name="Cambria">
    <w:charset w:val="01"/>
    <w:family w:val="roman"/>
    <w:pitch w:val="variable"/>
  </w:font>
  <w:font w:name="TeX Gyre Termes">
    <w:charset w:val="01"/>
    <w:family w:val="roman"/>
    <w:pitch w:val="variable"/>
  </w:font>
  <w:font w:name="Consolas">
    <w:charset w:val="01"/>
    <w:family w:val="roman"/>
    <w:pitch w:val="variable"/>
  </w:font>
  <w:font w:name="Calibri">
    <w:charset w:val="01"/>
    <w:family w:val="roman"/>
    <w:pitch w:val="variable"/>
  </w:font>
</w:fonts>
</file>

<file path=word/settings.xml><?xml version="1.0" encoding="utf-8"?>
<w:settings xmlns:w="http://schemas.openxmlformats.org/wordprocessingml/2006/main">
  <w:zoom w:percent="100"/>
  <w:embedSystemFonts/>
  <w:defaultTabStop w:val="720"/>
  <w:autoHyphenation w:val="true"/>
  <w:compat>
    <w:compatSetting w:name="compatibilityMode" w:uri="http://schemas.microsoft.com/office/word" w:val="12"/>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mbria" w:hAnsi="Cambria" w:eastAsia="Cambria" w:cs="" w:asciiTheme="minorHAnsi" w:cstheme="minorBidi" w:eastAsiaTheme="minorHAnsi" w:hAnsiTheme="minorHAnsi"/>
        <w:sz w:val="24"/>
        <w:szCs w:val="24"/>
        <w:lang w:val="en-US" w:eastAsia="en-US" w:bidi="ar-SA"/>
      </w:rPr>
    </w:rPrDefault>
    <w:pPrDefault>
      <w:pPr>
        <w:suppressAutoHyphens w:val="true"/>
      </w:pPr>
    </w:pPrDefault>
  </w:docDefaults>
  <w:latentStyles w:defLockedState="0" w:defUIPriority="0" w:defSemiHidden="0" w:defUnhideWhenUsed="0" w:defQFormat="0" w:count="276"/>
  <w:style w:type="paragraph" w:styleId="Normal" w:default="1">
    <w:name w:val="Normal"/>
    <w:qFormat/>
    <w:pPr>
      <w:widowControl/>
      <w:suppressAutoHyphens w:val="true"/>
      <w:bidi w:val="0"/>
      <w:spacing w:before="0" w:after="200"/>
      <w:jc w:val="left"/>
    </w:pPr>
    <w:rPr>
      <w:rFonts w:ascii="TeX Gyre Termes" w:hAnsi="TeX Gyre Termes" w:eastAsia="Cambria" w:cs="" w:cstheme="minorBidi" w:eastAsiaTheme="minorHAnsi"/>
      <w:color w:val="auto"/>
      <w:kern w:val="0"/>
      <w:sz w:val="24"/>
      <w:szCs w:val="24"/>
      <w:lang w:val="en-US" w:eastAsia="en-US" w:bidi="ar-SA"/>
    </w:rPr>
  </w:style>
  <w:style w:type="paragraph" w:styleId="Heading1">
    <w:name w:val="Heading 1"/>
    <w:basedOn w:val="Normal"/>
    <w:next w:val="BodyText"/>
    <w:uiPriority w:val="9"/>
    <w:qFormat/>
    <w:pPr>
      <w:keepNext w:val="true"/>
      <w:keepLines/>
      <w:spacing w:before="480" w:after="0"/>
      <w:outlineLvl w:val="0"/>
    </w:pPr>
    <w:rPr>
      <w:rFonts w:ascii="TeX Gyre Termes" w:hAnsi="TeX Gyre Termes" w:eastAsia="" w:cs="" w:cstheme="majorBidi" w:eastAsiaTheme="majorEastAsia"/>
      <w:b/>
      <w:bCs/>
      <w:color w:val="000000"/>
      <w:sz w:val="32"/>
      <w:szCs w:val="32"/>
    </w:rPr>
  </w:style>
  <w:style w:type="paragraph" w:styleId="Heading2">
    <w:name w:val="Heading 2"/>
    <w:basedOn w:val="Normal"/>
    <w:next w:val="BodyText"/>
    <w:uiPriority w:val="9"/>
    <w:unhideWhenUsed/>
    <w:qFormat/>
    <w:pPr>
      <w:keepNext w:val="true"/>
      <w:keepLines/>
      <w:spacing w:before="200" w:after="0"/>
      <w:outlineLvl w:val="1"/>
    </w:pPr>
    <w:rPr>
      <w:rFonts w:ascii="TeX Gyre Termes" w:hAnsi="TeX Gyre Termes" w:eastAsia="" w:cs="" w:cstheme="majorBidi" w:eastAsiaTheme="majorEastAsia"/>
      <w:b/>
      <w:bCs/>
      <w:color w:val="000000"/>
      <w:sz w:val="28"/>
      <w:szCs w:val="28"/>
    </w:rPr>
  </w:style>
  <w:style w:type="paragraph" w:styleId="Heading3">
    <w:name w:val="Heading 3"/>
    <w:basedOn w:val="Normal"/>
    <w:next w:val="BodyText"/>
    <w:uiPriority w:val="9"/>
    <w:unhideWhenUsed/>
    <w:qFormat/>
    <w:pPr>
      <w:keepNext w:val="true"/>
      <w:keepLines/>
      <w:spacing w:before="200" w:after="0"/>
      <w:outlineLvl w:val="2"/>
    </w:pPr>
    <w:rPr>
      <w:rFonts w:ascii="TeX Gyre Termes" w:hAnsi="TeX Gyre Termes" w:eastAsia="" w:cs="" w:cstheme="majorBidi" w:eastAsiaTheme="majorEastAsia"/>
      <w:b/>
      <w:bCs/>
      <w:color w:val="000000"/>
      <w:sz w:val="24"/>
      <w:szCs w:val="24"/>
    </w:rPr>
  </w:style>
  <w:style w:type="paragraph" w:styleId="Heading4">
    <w:name w:val="Heading 4"/>
    <w:basedOn w:val="Normal"/>
    <w:next w:val="BodyText"/>
    <w:uiPriority w:val="9"/>
    <w:unhideWhenUsed/>
    <w:qFormat/>
    <w:pPr>
      <w:keepNext w:val="true"/>
      <w:keepLines/>
      <w:spacing w:before="200" w:after="0"/>
      <w:outlineLvl w:val="3"/>
    </w:pPr>
    <w:rPr>
      <w:rFonts w:ascii="TeX Gyre Termes" w:hAnsi="TeX Gyre Termes" w:eastAsia="" w:cs="" w:cstheme="majorBidi" w:eastAsiaTheme="majorEastAsia"/>
      <w:bCs/>
      <w:i/>
      <w:color w:val="000000"/>
      <w:sz w:val="24"/>
      <w:szCs w:val="24"/>
    </w:rPr>
  </w:style>
  <w:style w:type="paragraph" w:styleId="Heading5">
    <w:name w:val="Heading 5"/>
    <w:basedOn w:val="Normal"/>
    <w:next w:val="BodyText"/>
    <w:uiPriority w:val="9"/>
    <w:unhideWhenUsed/>
    <w:qFormat/>
    <w:pPr>
      <w:keepNext w:val="true"/>
      <w:keepLines/>
      <w:spacing w:before="200" w:after="0"/>
      <w:outlineLvl w:val="4"/>
    </w:pPr>
    <w:rPr>
      <w:rFonts w:ascii="TeX Gyre Termes" w:hAnsi="TeX Gyre Termes" w:eastAsia="" w:cs="" w:cstheme="majorBidi" w:eastAsiaTheme="majorEastAsia"/>
      <w:iCs/>
      <w:color w:val="000000"/>
      <w:sz w:val="24"/>
      <w:szCs w:val="24"/>
    </w:rPr>
  </w:style>
  <w:style w:type="paragraph" w:styleId="Heading6">
    <w:name w:val="Heading 6"/>
    <w:basedOn w:val="Normal"/>
    <w:next w:val="BodyText"/>
    <w:uiPriority w:val="9"/>
    <w:unhideWhenUsed/>
    <w:qFormat/>
    <w:pPr>
      <w:keepNext w:val="true"/>
      <w:keepLines/>
      <w:spacing w:before="200" w:after="0"/>
      <w:outlineLvl w:val="5"/>
    </w:pPr>
    <w:rPr>
      <w:rFonts w:ascii="TeX Gyre Termes" w:hAnsi="TeX Gyre Termes" w:eastAsia="" w:cs="" w:cstheme="majorBidi" w:eastAsiaTheme="majorEastAsia"/>
      <w:color w:val="auto"/>
      <w:sz w:val="24"/>
      <w:szCs w:val="24"/>
    </w:rPr>
  </w:style>
  <w:style w:type="paragraph" w:styleId="Heading7">
    <w:name w:val="Heading 7"/>
    <w:basedOn w:val="Normal"/>
    <w:next w:val="BodyText"/>
    <w:uiPriority w:val="9"/>
    <w:unhideWhenUsed/>
    <w:qFormat/>
    <w:pPr>
      <w:keepNext w:val="true"/>
      <w:keepLines/>
      <w:spacing w:before="200" w:after="0"/>
      <w:outlineLvl w:val="6"/>
    </w:pPr>
    <w:rPr>
      <w:rFonts w:ascii="TeX Gyre Termes" w:hAnsi="TeX Gyre Termes" w:eastAsia="" w:cs="" w:cstheme="majorBidi" w:eastAsiaTheme="majorEastAsia"/>
      <w:color w:val="auto"/>
      <w:sz w:val="24"/>
      <w:szCs w:val="24"/>
    </w:rPr>
  </w:style>
  <w:style w:type="paragraph" w:styleId="Heading8">
    <w:name w:val="Heading 8"/>
    <w:basedOn w:val="Normal"/>
    <w:next w:val="BodyText"/>
    <w:uiPriority w:val="9"/>
    <w:unhideWhenUsed/>
    <w:qFormat/>
    <w:pPr>
      <w:keepNext w:val="true"/>
      <w:keepLines/>
      <w:spacing w:before="200" w:after="0"/>
      <w:outlineLvl w:val="7"/>
    </w:pPr>
    <w:rPr>
      <w:rFonts w:ascii="TeX Gyre Termes" w:hAnsi="TeX Gyre Termes" w:eastAsia="" w:cs="" w:cstheme="majorBidi" w:eastAsiaTheme="majorEastAsia"/>
      <w:color w:val="auto"/>
      <w:sz w:val="24"/>
      <w:szCs w:val="24"/>
    </w:rPr>
  </w:style>
  <w:style w:type="paragraph" w:styleId="Heading9">
    <w:name w:val="Heading 9"/>
    <w:basedOn w:val="Normal"/>
    <w:next w:val="BodyText"/>
    <w:uiPriority w:val="9"/>
    <w:unhideWhenUsed/>
    <w:qFormat/>
    <w:pPr>
      <w:keepNext w:val="true"/>
      <w:keepLines/>
      <w:spacing w:before="200" w:after="0"/>
      <w:outlineLvl w:val="8"/>
    </w:pPr>
    <w:rPr>
      <w:rFonts w:ascii="TeX Gyre Termes" w:hAnsi="TeX Gyre Termes" w:eastAsia="" w:cs="" w:cstheme="majorBidi" w:eastAsiaTheme="majorEastAsia"/>
      <w:color w:val="auto"/>
      <w:sz w:val="24"/>
      <w:szCs w:val="24"/>
    </w:rPr>
  </w:style>
  <w:style w:type="character" w:styleId="DefaultParagraphFont" w:default="1">
    <w:name w:val="Default Paragraph Font"/>
    <w:semiHidden/>
    <w:unhideWhenUsed/>
    <w:qFormat/>
    <w:rPr/>
  </w:style>
  <w:style w:type="character" w:styleId="BodyTextChar" w:customStyle="1">
    <w:name w:val="Body Text Char"/>
    <w:basedOn w:val="DefaultParagraphFont"/>
    <w:qFormat/>
    <w:rPr/>
  </w:style>
  <w:style w:type="character" w:styleId="VerbatimChar" w:customStyle="1">
    <w:name w:val="Verbatim Char"/>
    <w:basedOn w:val="BodyTextChar"/>
    <w:qFormat/>
    <w:rPr>
      <w:rFonts w:ascii="Consolas" w:hAnsi="Consolas"/>
      <w:sz w:val="22"/>
    </w:rPr>
  </w:style>
  <w:style w:type="character" w:styleId="SectionNumber" w:customStyle="1">
    <w:name w:val="Section Number"/>
    <w:basedOn w:val="BodyTextChar"/>
    <w:qFormat/>
    <w:rPr/>
  </w:style>
  <w:style w:type="character" w:styleId="FootnoteCharacters">
    <w:name w:val="Footnote Characters"/>
    <w:qFormat/>
    <w:rPr>
      <w:vertAlign w:val="superscript"/>
    </w:rPr>
  </w:style>
  <w:style w:type="character" w:styleId="FootnoteReference">
    <w:name w:val="Footnote Reference"/>
    <w:rPr>
      <w:vertAlign w:val="superscript"/>
    </w:rPr>
  </w:style>
  <w:style w:type="character" w:styleId="Hyperlink">
    <w:name w:val="Hyperlink"/>
    <w:basedOn w:val="BodyTextChar"/>
    <w:rPr>
      <w:color w:themeColor="accent1" w:val="4F81BD"/>
    </w:rPr>
  </w:style>
  <w:style w:type="character" w:styleId="EndnoteCharacters">
    <w:name w:val="Endnote Characters"/>
    <w:qFormat/>
    <w:rPr>
      <w:vertAlign w:val="superscript"/>
    </w:rPr>
  </w:style>
  <w:style w:type="character" w:styleId="EndnoteReference">
    <w:name w:val="Endnote Reference"/>
    <w:rPr>
      <w:vertAlign w:val="superscript"/>
    </w:rPr>
  </w:style>
  <w:style w:type="character" w:styleId="LineNumber">
    <w:name w:val="Line Number"/>
    <w:rPr/>
  </w:style>
  <w:style w:type="character" w:styleId="KeywordTok" w:customStyle="1">
    <w:name w:val="KeywordTok"/>
    <w:basedOn w:val="VerbatimChar"/>
    <w:qFormat/>
    <w:rPr>
      <w:color w:val="003B4F"/>
      <w:shd w:fill="F1F3F5" w:val="clear"/>
    </w:rPr>
  </w:style>
  <w:style w:type="character" w:styleId="DataTypeTok" w:customStyle="1">
    <w:name w:val="DataTypeTok"/>
    <w:basedOn w:val="VerbatimChar"/>
    <w:qFormat/>
    <w:rPr>
      <w:color w:val="AD0000"/>
      <w:shd w:fill="F1F3F5" w:val="clear"/>
    </w:rPr>
  </w:style>
  <w:style w:type="character" w:styleId="DecValTok" w:customStyle="1">
    <w:name w:val="DecValTok"/>
    <w:basedOn w:val="VerbatimChar"/>
    <w:qFormat/>
    <w:rPr>
      <w:color w:val="AD0000"/>
      <w:shd w:fill="F1F3F5" w:val="clear"/>
    </w:rPr>
  </w:style>
  <w:style w:type="character" w:styleId="BaseNTok" w:customStyle="1">
    <w:name w:val="BaseNTok"/>
    <w:basedOn w:val="VerbatimChar"/>
    <w:qFormat/>
    <w:rPr>
      <w:color w:val="AD0000"/>
      <w:shd w:fill="F1F3F5" w:val="clear"/>
    </w:rPr>
  </w:style>
  <w:style w:type="character" w:styleId="FloatTok" w:customStyle="1">
    <w:name w:val="FloatTok"/>
    <w:basedOn w:val="VerbatimChar"/>
    <w:qFormat/>
    <w:rPr>
      <w:color w:val="AD0000"/>
      <w:shd w:fill="F1F3F5" w:val="clear"/>
    </w:rPr>
  </w:style>
  <w:style w:type="character" w:styleId="ConstantTok" w:customStyle="1">
    <w:name w:val="ConstantTok"/>
    <w:basedOn w:val="VerbatimChar"/>
    <w:qFormat/>
    <w:rPr>
      <w:color w:val="8F5902"/>
      <w:shd w:fill="F1F3F5" w:val="clear"/>
    </w:rPr>
  </w:style>
  <w:style w:type="character" w:styleId="CharTok" w:customStyle="1">
    <w:name w:val="CharTok"/>
    <w:basedOn w:val="VerbatimChar"/>
    <w:qFormat/>
    <w:rPr>
      <w:color w:val="20794D"/>
      <w:shd w:fill="F1F3F5" w:val="clear"/>
    </w:rPr>
  </w:style>
  <w:style w:type="character" w:styleId="SpecialCharTok" w:customStyle="1">
    <w:name w:val="SpecialCharTok"/>
    <w:basedOn w:val="VerbatimChar"/>
    <w:qFormat/>
    <w:rPr>
      <w:color w:val="5E5E5E"/>
      <w:shd w:fill="F1F3F5" w:val="clear"/>
    </w:rPr>
  </w:style>
  <w:style w:type="character" w:styleId="StringTok" w:customStyle="1">
    <w:name w:val="StringTok"/>
    <w:basedOn w:val="VerbatimChar"/>
    <w:qFormat/>
    <w:rPr>
      <w:color w:val="20794D"/>
      <w:shd w:fill="F1F3F5" w:val="clear"/>
    </w:rPr>
  </w:style>
  <w:style w:type="character" w:styleId="VerbatimStringTok" w:customStyle="1">
    <w:name w:val="VerbatimStringTok"/>
    <w:basedOn w:val="VerbatimChar"/>
    <w:qFormat/>
    <w:rPr>
      <w:color w:val="20794D"/>
      <w:shd w:fill="F1F3F5" w:val="clear"/>
    </w:rPr>
  </w:style>
  <w:style w:type="character" w:styleId="SpecialStringTok" w:customStyle="1">
    <w:name w:val="SpecialStringTok"/>
    <w:basedOn w:val="VerbatimChar"/>
    <w:qFormat/>
    <w:rPr>
      <w:color w:val="20794D"/>
      <w:shd w:fill="F1F3F5" w:val="clear"/>
    </w:rPr>
  </w:style>
  <w:style w:type="character" w:styleId="ImportTok" w:customStyle="1">
    <w:name w:val="ImportTok"/>
    <w:basedOn w:val="VerbatimChar"/>
    <w:qFormat/>
    <w:rPr>
      <w:color w:val="00769E"/>
      <w:shd w:fill="F1F3F5" w:val="clear"/>
    </w:rPr>
  </w:style>
  <w:style w:type="character" w:styleId="CommentTok" w:customStyle="1">
    <w:name w:val="CommentTok"/>
    <w:basedOn w:val="VerbatimChar"/>
    <w:qFormat/>
    <w:rPr>
      <w:color w:val="5E5E5E"/>
      <w:shd w:fill="F1F3F5" w:val="clear"/>
    </w:rPr>
  </w:style>
  <w:style w:type="character" w:styleId="DocumentationTok" w:customStyle="1">
    <w:name w:val="DocumentationTok"/>
    <w:basedOn w:val="VerbatimChar"/>
    <w:qFormat/>
    <w:rPr>
      <w:i/>
      <w:color w:val="5E5E5E"/>
      <w:shd w:fill="F1F3F5" w:val="clear"/>
    </w:rPr>
  </w:style>
  <w:style w:type="character" w:styleId="AnnotationTok" w:customStyle="1">
    <w:name w:val="AnnotationTok"/>
    <w:basedOn w:val="VerbatimChar"/>
    <w:qFormat/>
    <w:rPr>
      <w:color w:val="5E5E5E"/>
      <w:shd w:fill="F1F3F5" w:val="clear"/>
    </w:rPr>
  </w:style>
  <w:style w:type="character" w:styleId="CommentVarTok" w:customStyle="1">
    <w:name w:val="CommentVarTok"/>
    <w:basedOn w:val="VerbatimChar"/>
    <w:qFormat/>
    <w:rPr>
      <w:i/>
      <w:color w:val="5E5E5E"/>
      <w:shd w:fill="F1F3F5" w:val="clear"/>
    </w:rPr>
  </w:style>
  <w:style w:type="character" w:styleId="OtherTok" w:customStyle="1">
    <w:name w:val="OtherTok"/>
    <w:basedOn w:val="VerbatimChar"/>
    <w:qFormat/>
    <w:rPr>
      <w:color w:val="003B4F"/>
      <w:shd w:fill="F1F3F5" w:val="clear"/>
    </w:rPr>
  </w:style>
  <w:style w:type="character" w:styleId="FunctionTok" w:customStyle="1">
    <w:name w:val="FunctionTok"/>
    <w:basedOn w:val="VerbatimChar"/>
    <w:qFormat/>
    <w:rPr>
      <w:color w:val="4758AB"/>
      <w:shd w:fill="F1F3F5" w:val="clear"/>
    </w:rPr>
  </w:style>
  <w:style w:type="character" w:styleId="VariableTok" w:customStyle="1">
    <w:name w:val="VariableTok"/>
    <w:basedOn w:val="VerbatimChar"/>
    <w:qFormat/>
    <w:rPr>
      <w:color w:val="111111"/>
      <w:shd w:fill="F1F3F5" w:val="clear"/>
    </w:rPr>
  </w:style>
  <w:style w:type="character" w:styleId="ControlFlowTok" w:customStyle="1">
    <w:name w:val="ControlFlowTok"/>
    <w:basedOn w:val="VerbatimChar"/>
    <w:qFormat/>
    <w:rPr>
      <w:color w:val="003B4F"/>
      <w:shd w:fill="F1F3F5" w:val="clear"/>
    </w:rPr>
  </w:style>
  <w:style w:type="character" w:styleId="OperatorTok" w:customStyle="1">
    <w:name w:val="OperatorTok"/>
    <w:basedOn w:val="VerbatimChar"/>
    <w:qFormat/>
    <w:rPr>
      <w:color w:val="5E5E5E"/>
      <w:shd w:fill="F1F3F5" w:val="clear"/>
    </w:rPr>
  </w:style>
  <w:style w:type="character" w:styleId="BuiltInTok" w:customStyle="1">
    <w:name w:val="BuiltInTok"/>
    <w:basedOn w:val="VerbatimChar"/>
    <w:qFormat/>
    <w:rPr>
      <w:color w:val="003B4F"/>
      <w:shd w:fill="F1F3F5" w:val="clear"/>
    </w:rPr>
  </w:style>
  <w:style w:type="character" w:styleId="ExtensionTok" w:customStyle="1">
    <w:name w:val="ExtensionTok"/>
    <w:basedOn w:val="VerbatimChar"/>
    <w:qFormat/>
    <w:rPr>
      <w:color w:val="003B4F"/>
      <w:shd w:fill="F1F3F5" w:val="clear"/>
    </w:rPr>
  </w:style>
  <w:style w:type="character" w:styleId="PreprocessorTok" w:customStyle="1">
    <w:name w:val="PreprocessorTok"/>
    <w:basedOn w:val="VerbatimChar"/>
    <w:qFormat/>
    <w:rPr>
      <w:color w:val="AD0000"/>
      <w:shd w:fill="F1F3F5" w:val="clear"/>
    </w:rPr>
  </w:style>
  <w:style w:type="character" w:styleId="AttributeTok" w:customStyle="1">
    <w:name w:val="AttributeTok"/>
    <w:basedOn w:val="VerbatimChar"/>
    <w:qFormat/>
    <w:rPr>
      <w:color w:val="657422"/>
      <w:shd w:fill="F1F3F5" w:val="clear"/>
    </w:rPr>
  </w:style>
  <w:style w:type="character" w:styleId="RegionMarkerTok" w:customStyle="1">
    <w:name w:val="RegionMarkerTok"/>
    <w:basedOn w:val="VerbatimChar"/>
    <w:qFormat/>
    <w:rPr>
      <w:color w:val="003B4F"/>
      <w:shd w:fill="F1F3F5" w:val="clear"/>
    </w:rPr>
  </w:style>
  <w:style w:type="character" w:styleId="InformationTok" w:customStyle="1">
    <w:name w:val="InformationTok"/>
    <w:basedOn w:val="VerbatimChar"/>
    <w:qFormat/>
    <w:rPr>
      <w:color w:val="5E5E5E"/>
      <w:shd w:fill="F1F3F5" w:val="clear"/>
    </w:rPr>
  </w:style>
  <w:style w:type="character" w:styleId="WarningTok" w:customStyle="1">
    <w:name w:val="WarningTok"/>
    <w:basedOn w:val="VerbatimChar"/>
    <w:qFormat/>
    <w:rPr>
      <w:i/>
      <w:color w:val="5E5E5E"/>
      <w:shd w:fill="F1F3F5" w:val="clear"/>
    </w:rPr>
  </w:style>
  <w:style w:type="character" w:styleId="AlertTok" w:customStyle="1">
    <w:name w:val="AlertTok"/>
    <w:basedOn w:val="VerbatimChar"/>
    <w:qFormat/>
    <w:rPr>
      <w:color w:val="AD0000"/>
      <w:shd w:fill="F1F3F5" w:val="clear"/>
    </w:rPr>
  </w:style>
  <w:style w:type="character" w:styleId="ErrorTok" w:customStyle="1">
    <w:name w:val="ErrorTok"/>
    <w:basedOn w:val="VerbatimChar"/>
    <w:qFormat/>
    <w:rPr>
      <w:color w:val="AD0000"/>
      <w:shd w:fill="F1F3F5" w:val="clear"/>
    </w:rPr>
  </w:style>
  <w:style w:type="character" w:styleId="NormalTok" w:customStyle="1">
    <w:name w:val="NormalTok"/>
    <w:basedOn w:val="VerbatimChar"/>
    <w:qFormat/>
    <w:rPr>
      <w:color w:val="003B4F"/>
      <w:shd w:fill="F1F3F5" w:val="clear"/>
    </w:rPr>
  </w:style>
  <w:style w:type="paragraph" w:styleId="Heading">
    <w:name w:val="Heading"/>
    <w:basedOn w:val="Normal"/>
    <w:next w:val="BodyText"/>
    <w:qFormat/>
    <w:pPr>
      <w:keepNext w:val="true"/>
      <w:spacing w:before="240" w:after="120"/>
    </w:pPr>
    <w:rPr>
      <w:rFonts w:ascii="TeX Gyre Termes" w:hAnsi="TeX Gyre Termes" w:eastAsia="Microsoft YaHei" w:cs="Lucida Sans"/>
      <w:sz w:val="28"/>
      <w:szCs w:val="28"/>
    </w:rPr>
  </w:style>
  <w:style w:type="paragraph" w:styleId="BodyText">
    <w:name w:val="Body Text"/>
    <w:basedOn w:val="Normal"/>
    <w:link w:val="BodyTextChar"/>
    <w:qFormat/>
    <w:pPr>
      <w:spacing w:lineRule="auto" w:line="480" w:before="180" w:after="180"/>
    </w:pPr>
    <w:rPr>
      <w:rFonts w:ascii="TeX Gyre Termes" w:hAnsi="TeX Gyre Termes"/>
    </w:rPr>
  </w:style>
  <w:style w:type="paragraph" w:styleId="List">
    <w:name w:val="List"/>
    <w:basedOn w:val="BodyText"/>
    <w:pPr/>
    <w:rPr>
      <w:rFonts w:cs="Lucida Sans"/>
    </w:rPr>
  </w:style>
  <w:style w:type="paragraph" w:styleId="Caption">
    <w:name w:val="Caption"/>
    <w:basedOn w:val="Normal"/>
    <w:link w:val="BodyTextChar"/>
    <w:qFormat/>
    <w:pPr>
      <w:spacing w:before="0" w:after="120"/>
    </w:pPr>
    <w:rPr>
      <w:rFonts w:ascii="TeX Gyre Termes" w:hAnsi="TeX Gyre Termes"/>
      <w:i w:val="false"/>
    </w:rPr>
  </w:style>
  <w:style w:type="paragraph" w:styleId="Index">
    <w:name w:val="Index"/>
    <w:basedOn w:val="Normal"/>
    <w:qFormat/>
    <w:pPr>
      <w:suppressLineNumbers/>
    </w:pPr>
    <w:rPr>
      <w:rFonts w:cs="Lucida Sans"/>
    </w:rPr>
  </w:style>
  <w:style w:type="paragraph" w:styleId="FirstParagraph" w:customStyle="1">
    <w:name w:val="First Paragraph"/>
    <w:basedOn w:val="BodyText"/>
    <w:next w:val="BodyText"/>
    <w:qFormat/>
    <w:pPr>
      <w:spacing w:lineRule="auto" w:line="480"/>
    </w:pPr>
    <w:rPr>
      <w:rFonts w:ascii="TeX Gyre Termes" w:hAnsi="TeX Gyre Termes"/>
    </w:rPr>
  </w:style>
  <w:style w:type="paragraph" w:styleId="Compact" w:customStyle="1">
    <w:name w:val="Compact"/>
    <w:basedOn w:val="BodyText"/>
    <w:qFormat/>
    <w:pPr>
      <w:spacing w:before="36" w:after="36"/>
    </w:pPr>
    <w:rPr/>
  </w:style>
  <w:style w:type="paragraph" w:styleId="Title">
    <w:name w:val="Title"/>
    <w:basedOn w:val="Normal"/>
    <w:next w:val="BodyText"/>
    <w:qFormat/>
    <w:pPr>
      <w:keepNext w:val="true"/>
      <w:keepLines/>
      <w:spacing w:before="480" w:after="240"/>
      <w:jc w:val="left"/>
    </w:pPr>
    <w:rPr>
      <w:rFonts w:ascii="TeX Gyre Termes" w:hAnsi="TeX Gyre Termes" w:eastAsia="" w:cs="" w:cstheme="majorBidi" w:eastAsiaTheme="majorEastAsia"/>
      <w:b/>
      <w:bCs/>
      <w:color w:val="000000"/>
      <w:sz w:val="36"/>
      <w:szCs w:val="36"/>
    </w:rPr>
  </w:style>
  <w:style w:type="paragraph" w:styleId="Subtitle">
    <w:name w:val="Subtitle"/>
    <w:basedOn w:val="Title"/>
    <w:next w:val="BodyText"/>
    <w:qFormat/>
    <w:pPr>
      <w:keepNext w:val="true"/>
      <w:keepLines/>
      <w:spacing w:before="240" w:after="240"/>
      <w:jc w:val="left"/>
    </w:pPr>
    <w:rPr>
      <w:sz w:val="30"/>
      <w:szCs w:val="30"/>
    </w:rPr>
  </w:style>
  <w:style w:type="paragraph" w:styleId="Author" w:customStyle="1">
    <w:name w:val="Author"/>
    <w:next w:val="BodyText"/>
    <w:qFormat/>
    <w:pPr>
      <w:keepNext w:val="true"/>
      <w:keepLines/>
      <w:widowControl/>
      <w:suppressAutoHyphens w:val="true"/>
      <w:bidi w:val="0"/>
      <w:spacing w:before="0" w:after="200"/>
      <w:jc w:val="left"/>
    </w:pPr>
    <w:rPr>
      <w:rFonts w:ascii="TeX Gyre Termes" w:hAnsi="TeX Gyre Termes" w:eastAsia="Cambria" w:cs="" w:cstheme="minorBidi" w:eastAsiaTheme="minorHAnsi"/>
      <w:color w:val="auto"/>
      <w:kern w:val="0"/>
      <w:sz w:val="24"/>
      <w:szCs w:val="24"/>
      <w:lang w:val="en-US" w:eastAsia="en-US" w:bidi="ar-SA"/>
    </w:rPr>
  </w:style>
  <w:style w:type="paragraph" w:styleId="Date">
    <w:name w:val="Date"/>
    <w:next w:val="BodyText"/>
    <w:qFormat/>
    <w:pPr>
      <w:keepNext w:val="true"/>
      <w:keepLines/>
      <w:widowControl/>
      <w:suppressAutoHyphens w:val="true"/>
      <w:bidi w:val="0"/>
      <w:spacing w:before="0" w:after="200"/>
      <w:jc w:val="left"/>
    </w:pPr>
    <w:rPr>
      <w:rFonts w:ascii="TeX Gyre Termes" w:hAnsi="TeX Gyre Termes" w:eastAsia="Cambria" w:cs="" w:cstheme="minorBidi" w:eastAsiaTheme="minorHAnsi"/>
      <w:color w:val="auto"/>
      <w:kern w:val="0"/>
      <w:sz w:val="24"/>
      <w:szCs w:val="24"/>
      <w:lang w:val="en-US" w:eastAsia="en-US" w:bidi="ar-SA"/>
    </w:rPr>
  </w:style>
  <w:style w:type="paragraph" w:styleId="Abstract" w:customStyle="1">
    <w:name w:val="Abstract"/>
    <w:basedOn w:val="Normal"/>
    <w:next w:val="BodyText"/>
    <w:qFormat/>
    <w:pPr>
      <w:keepNext w:val="true"/>
      <w:keepLines/>
      <w:spacing w:before="300" w:after="300"/>
    </w:pPr>
    <w:rPr>
      <w:rFonts w:ascii="TeX Gyre Termes" w:hAnsi="TeX Gyre Termes"/>
      <w:sz w:val="20"/>
      <w:szCs w:val="20"/>
    </w:rPr>
  </w:style>
  <w:style w:type="paragraph" w:styleId="Bibliography">
    <w:name w:val="Bibliography"/>
    <w:basedOn w:val="Normal"/>
    <w:qFormat/>
    <w:pPr/>
    <w:rPr>
      <w:rFonts w:ascii="TeX Gyre Termes" w:hAnsi="TeX Gyre Termes"/>
    </w:rPr>
  </w:style>
  <w:style w:type="paragraph" w:styleId="BlockText">
    <w:name w:val="Block Text"/>
    <w:basedOn w:val="BodyText"/>
    <w:next w:val="BodyText"/>
    <w:uiPriority w:val="9"/>
    <w:unhideWhenUsed/>
    <w:qFormat/>
    <w:pPr>
      <w:spacing w:before="100" w:after="100"/>
      <w:ind w:hanging="0" w:left="480" w:right="480"/>
    </w:pPr>
    <w:rPr/>
  </w:style>
  <w:style w:type="paragraph" w:styleId="FootnoteText">
    <w:name w:val="Footnote Text"/>
    <w:basedOn w:val="Normal"/>
    <w:uiPriority w:val="9"/>
    <w:unhideWhenUsed/>
    <w:qFormat/>
    <w:pPr/>
    <w:rPr>
      <w:rFonts w:ascii="TeX Gyre Termes" w:hAnsi="TeX Gyre Termes"/>
    </w:rPr>
  </w:style>
  <w:style w:type="paragraph" w:styleId="DefinitionTerm" w:customStyle="1">
    <w:name w:val="Definition Term"/>
    <w:basedOn w:val="Normal"/>
    <w:next w:val="Definition"/>
    <w:qFormat/>
    <w:pPr>
      <w:keepNext w:val="true"/>
      <w:keepLines/>
      <w:spacing w:before="0" w:after="0"/>
    </w:pPr>
    <w:rPr>
      <w:rFonts w:ascii="TeX Gyre Termes" w:hAnsi="TeX Gyre Termes"/>
      <w:b/>
    </w:rPr>
  </w:style>
  <w:style w:type="paragraph" w:styleId="Definition" w:customStyle="1">
    <w:name w:val="Definition"/>
    <w:basedOn w:val="Normal"/>
    <w:qFormat/>
    <w:pPr/>
    <w:rPr>
      <w:rFonts w:ascii="TeX Gyre Termes" w:hAnsi="TeX Gyre Termes"/>
    </w:rPr>
  </w:style>
  <w:style w:type="paragraph" w:styleId="TableCaption" w:customStyle="1">
    <w:name w:val="Table Caption"/>
    <w:basedOn w:val="Caption"/>
    <w:qFormat/>
    <w:pPr>
      <w:keepNext w:val="true"/>
    </w:pPr>
    <w:rPr/>
  </w:style>
  <w:style w:type="paragraph" w:styleId="ImageCaption" w:customStyle="1">
    <w:name w:val="Image Caption"/>
    <w:basedOn w:val="Caption"/>
    <w:qFormat/>
    <w:pPr/>
    <w:rPr/>
  </w:style>
  <w:style w:type="paragraph" w:styleId="Figure" w:customStyle="1">
    <w:name w:val="Figure"/>
    <w:basedOn w:val="Normal"/>
    <w:qFormat/>
    <w:pPr/>
    <w:rPr>
      <w:rFonts w:ascii="TeX Gyre Termes" w:hAnsi="TeX Gyre Termes"/>
    </w:rPr>
  </w:style>
  <w:style w:type="paragraph" w:styleId="CaptionedFigure" w:customStyle="1">
    <w:name w:val="Captioned Figure"/>
    <w:basedOn w:val="Figure"/>
    <w:qFormat/>
    <w:pPr>
      <w:keepNext w:val="true"/>
    </w:pPr>
    <w:rPr/>
  </w:style>
  <w:style w:type="paragraph" w:styleId="IndexHeading">
    <w:name w:val="Index Heading"/>
    <w:basedOn w:val="Heading"/>
    <w:pPr/>
    <w:rPr/>
  </w:style>
  <w:style w:type="paragraph" w:styleId="TOCHeading">
    <w:name w:val="TOC Heading"/>
    <w:basedOn w:val="Heading1"/>
    <w:next w:val="BodyText"/>
    <w:uiPriority w:val="39"/>
    <w:unhideWhenUsed/>
    <w:qFormat/>
    <w:pPr>
      <w:spacing w:lineRule="auto" w:line="259" w:before="240" w:after="0"/>
      <w:outlineLvl w:val="9"/>
    </w:pPr>
    <w:rPr>
      <w:rFonts w:ascii="Calibri" w:hAnsi="Calibri" w:eastAsia="" w:cs="" w:asciiTheme="majorHAnsi" w:cstheme="majorBidi" w:eastAsiaTheme="majorEastAsia" w:hAnsiTheme="majorHAnsi"/>
      <w:b w:val="false"/>
      <w:bCs w:val="false"/>
      <w:color w:themeColor="accent1" w:themeShade="bf" w:val="365F91"/>
    </w:rPr>
  </w:style>
  <w:style w:type="paragraph" w:styleId="HeaderandFooter">
    <w:name w:val="Header and Footer"/>
    <w:basedOn w:val="Normal"/>
    <w:qFormat/>
    <w:pPr>
      <w:suppressLineNumbers/>
      <w:tabs>
        <w:tab w:val="clear" w:pos="720"/>
        <w:tab w:val="center" w:pos="4680" w:leader="none"/>
        <w:tab w:val="right" w:pos="9360" w:leader="none"/>
      </w:tabs>
    </w:pPr>
    <w:rPr>
      <w:rFonts w:ascii="TeX Gyre Termes" w:hAnsi="TeX Gyre Termes"/>
    </w:rPr>
  </w:style>
  <w:style w:type="paragraph" w:styleId="Footer">
    <w:name w:val="Footer"/>
    <w:basedOn w:val="HeaderandFooter"/>
    <w:pPr>
      <w:suppressLineNumbers/>
    </w:pPr>
    <w:rPr/>
  </w:style>
  <w:style w:type="paragraph" w:styleId="Header">
    <w:name w:val="Header"/>
    <w:basedOn w:val="HeaderandFooter"/>
    <w:pPr>
      <w:suppressLineNumbers/>
    </w:pPr>
    <w:rPr/>
  </w:style>
  <w:style w:type="paragraph" w:styleId="EnvelopeAddress">
    <w:name w:val="Envelope Address"/>
    <w:basedOn w:val="Normal"/>
    <w:pPr>
      <w:suppressLineNumbers/>
      <w:spacing w:before="0" w:after="60"/>
    </w:pPr>
    <w:rPr>
      <w:rFonts w:ascii="TeX Gyre Termes" w:hAnsi="TeX Gyre Termes"/>
    </w:rPr>
  </w:style>
  <w:style w:type="paragraph" w:styleId="BlockQuotation">
    <w:name w:val="Block Quotation"/>
    <w:basedOn w:val="Normal"/>
    <w:qFormat/>
    <w:pPr>
      <w:spacing w:before="0" w:after="283"/>
      <w:ind w:hanging="0" w:left="567" w:right="567"/>
    </w:pPr>
    <w:rPr>
      <w:rFonts w:ascii="TeX Gyre Termes" w:hAnsi="TeX Gyre Termes"/>
    </w:rPr>
  </w:style>
  <w:style w:type="paragraph" w:styleId="Comment">
    <w:name w:val="Comment"/>
    <w:basedOn w:val="Normal"/>
    <w:qFormat/>
    <w:pPr/>
    <w:rPr>
      <w:rFonts w:ascii="TeX Gyre Termes" w:hAnsi="TeX Gyre Termes"/>
      <w:sz w:val="20"/>
      <w:szCs w:val="20"/>
    </w:rPr>
  </w:style>
  <w:style w:type="paragraph" w:styleId="Salutation">
    <w:name w:val="Salutation"/>
    <w:basedOn w:val="Normal"/>
    <w:pPr>
      <w:suppressLineNumbers/>
    </w:pPr>
    <w:rPr>
      <w:rFonts w:ascii="TeX Gyre Termes" w:hAnsi="TeX Gyre Termes"/>
    </w:rPr>
  </w:style>
  <w:style w:type="paragraph" w:styleId="EndnoteText">
    <w:name w:val="Endnote Text"/>
    <w:basedOn w:val="Normal"/>
    <w:pPr>
      <w:suppressLineNumbers/>
      <w:ind w:hanging="340" w:left="340"/>
    </w:pPr>
    <w:rPr>
      <w:rFonts w:ascii="TeX Gyre Termes" w:hAnsi="TeX Gyre Termes"/>
      <w:sz w:val="20"/>
      <w:szCs w:val="20"/>
    </w:rPr>
  </w:style>
  <w:style w:type="paragraph" w:styleId="FrameContents">
    <w:name w:val="Frame Contents"/>
    <w:basedOn w:val="Normal"/>
    <w:qFormat/>
    <w:pPr/>
    <w:rPr>
      <w:rFonts w:ascii="TeX Gyre Termes" w:hAnsi="TeX Gyre Termes"/>
    </w:rPr>
  </w:style>
  <w:style w:type="paragraph" w:styleId="SourceCode" w:customStyle="1">
    <w:name w:val="Source Code"/>
    <w:basedOn w:val="Normal"/>
    <w:link w:val="VerbatimChar"/>
    <w:qFormat/>
    <w:pPr>
      <w:shd w:val="clear" w:fill="F1F3F5"/>
    </w:pPr>
    <w:rPr/>
  </w:style>
  <w:style w:type="table" w:default="1" w:styleId="Table">
    <w:name w:val="Table"/>
    <w:basedOn w:val="TableNormal"/>
    <w:semiHidden/>
    <w:unhideWhenUsed/>
    <w:qFormat/>
    <w:tblPr>
      <w:tblCellMar>
        <w:top w:w="0" w:type="dxa"/>
        <w:left w:w="108" w:type="dxa"/>
        <w:bottom w:w="0" w:type="dxa"/>
        <w:right w:w="108" w:type="dxa"/>
      </w:tblCellMar>
    </w:tblPr>
    <w:tblStylePr w:type="firstRow">
      <w:tblPr/>
      <w:tcPr>
        <w:tcBorders>
          <w:bottom w:val="single"/>
        </w:tcBorders>
        <w:vAlign w:val="bottom"/>
      </w:tcPr>
    </w:tblStyle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mailto:baponterolon@tulane.edu" TargetMode="External"/><Relationship Id="rId3" Type="http://schemas.openxmlformats.org/officeDocument/2006/relationships/hyperlink" Target="https://doi.org/10.15156/BIO/2938067" TargetMode="External"/><Relationship Id="rId4" Type="http://schemas.openxmlformats.org/officeDocument/2006/relationships/hyperlink" Target="https://doi.org/10.1002/9781118445112.stat07841" TargetMode="External"/><Relationship Id="rId5" Type="http://schemas.openxmlformats.org/officeDocument/2006/relationships/hyperlink" Target="https://doi.org/dx.doi.org/10.17504/protocols.io.bp2l6xn8rlqe/v2" TargetMode="External"/><Relationship Id="rId6" Type="http://schemas.openxmlformats.org/officeDocument/2006/relationships/hyperlink" Target="https://doi.org/10.1111/j.2517-6161.1995.tb02031.x" TargetMode="External"/><Relationship Id="rId7" Type="http://schemas.openxmlformats.org/officeDocument/2006/relationships/hyperlink" Target="https://doi.org/10.1007/s00248-011-9975-8.Flowers" TargetMode="External"/><Relationship Id="rId8" Type="http://schemas.openxmlformats.org/officeDocument/2006/relationships/hyperlink" Target="https://doi.org/10.1002/yea.3314" TargetMode="External"/><Relationship Id="rId9" Type="http://schemas.openxmlformats.org/officeDocument/2006/relationships/hyperlink" Target="https://doi.org/10.1038/nmeth.3869" TargetMode="External"/><Relationship Id="rId10" Type="http://schemas.openxmlformats.org/officeDocument/2006/relationships/hyperlink" Target="https://doi.org/10.1038/s41598-021-01636-1" TargetMode="External"/><Relationship Id="rId11" Type="http://schemas.openxmlformats.org/officeDocument/2006/relationships/hyperlink" Target="https://doi.org/10.1111/j.1469-8137.2012.04284.x" TargetMode="External"/><Relationship Id="rId12" Type="http://schemas.openxmlformats.org/officeDocument/2006/relationships/hyperlink" Target="https://doi.org/10.1186/s40168-018-0605-2" TargetMode="External"/><Relationship Id="rId13" Type="http://schemas.openxmlformats.org/officeDocument/2006/relationships/hyperlink" Target="https://doi.org/10.1890/08-1823.1" TargetMode="External"/><Relationship Id="rId14" Type="http://schemas.openxmlformats.org/officeDocument/2006/relationships/hyperlink" Target="https://doi.org/10.3390/microorganisms7100445" TargetMode="External"/><Relationship Id="rId15" Type="http://schemas.openxmlformats.org/officeDocument/2006/relationships/hyperlink" Target="https://doi.org/10.1093/bioinformatics/btv401" TargetMode="External"/><Relationship Id="rId16" Type="http://schemas.openxmlformats.org/officeDocument/2006/relationships/hyperlink" Target="https://doi.org/10.1093/bioinformatics/btw354" TargetMode="External"/><Relationship Id="rId17" Type="http://schemas.openxmlformats.org/officeDocument/2006/relationships/hyperlink" Target="https://doi.org/10.1111/mec.13763" TargetMode="External"/><Relationship Id="rId18" Type="http://schemas.openxmlformats.org/officeDocument/2006/relationships/hyperlink" Target="https://doi.org/10.1093/aob/mcv080" TargetMode="External"/><Relationship Id="rId19" Type="http://schemas.openxmlformats.org/officeDocument/2006/relationships/hyperlink" Target="https://doi.org/10.1111/j.1365-294X.1993.tb00005.x" TargetMode="External"/><Relationship Id="rId20" Type="http://schemas.openxmlformats.org/officeDocument/2006/relationships/hyperlink" Target="https://doi.org/10.1016/j.funeco.2013.12.005" TargetMode="External"/><Relationship Id="rId21" Type="http://schemas.openxmlformats.org/officeDocument/2006/relationships/hyperlink" Target="https://doi.org/10.1038/ncomms6320" TargetMode="External"/><Relationship Id="rId22" Type="http://schemas.openxmlformats.org/officeDocument/2006/relationships/hyperlink" Target="https://www.optisci.com/acm-200.html" TargetMode="External"/><Relationship Id="rId23" Type="http://schemas.openxmlformats.org/officeDocument/2006/relationships/hyperlink" Target="https://doi.org/10.1016/j.actao.2020.103525" TargetMode="External"/><Relationship Id="rId24" Type="http://schemas.openxmlformats.org/officeDocument/2006/relationships/hyperlink" Target="https://doi.org/10.1111/j.1461-0248.2005.00796.x" TargetMode="External"/><Relationship Id="rId25" Type="http://schemas.openxmlformats.org/officeDocument/2006/relationships/hyperlink" Target="https://rpkgs.datanovia.com/rstatix/" TargetMode="External"/><Relationship Id="rId26" Type="http://schemas.openxmlformats.org/officeDocument/2006/relationships/hyperlink" Target="https://doi.org/10.1002/ecy.2740" TargetMode="External"/><Relationship Id="rId27" Type="http://schemas.openxmlformats.org/officeDocument/2006/relationships/hyperlink" Target="https://doi.org/10.1038/s43705-022-00107-6" TargetMode="External"/><Relationship Id="rId28" Type="http://schemas.openxmlformats.org/officeDocument/2006/relationships/hyperlink" Target="https://doi.org/10.1126/science.1208584" TargetMode="External"/><Relationship Id="rId29" Type="http://schemas.openxmlformats.org/officeDocument/2006/relationships/hyperlink" Target="https://doi.org/10.1890/0012-9615(1999)069%5B0001:DBRATM%5D2.0.CO;2" TargetMode="External"/><Relationship Id="rId30" Type="http://schemas.openxmlformats.org/officeDocument/2006/relationships/hyperlink" Target="https://doi.org/10.1111/j.2041-210X.2010.00078.x" TargetMode="External"/><Relationship Id="rId31" Type="http://schemas.openxmlformats.org/officeDocument/2006/relationships/hyperlink" Target="https://doi.org/10.1186/s12864-023-09211-w" TargetMode="External"/><Relationship Id="rId32" Type="http://schemas.openxmlformats.org/officeDocument/2006/relationships/hyperlink" Target="https://doi.org/10.1016/j.biocontrol.2020.104246" TargetMode="External"/><Relationship Id="rId33" Type="http://schemas.openxmlformats.org/officeDocument/2006/relationships/hyperlink" Target="https://doi.org/10.1093/femsec/fiab161" TargetMode="External"/><Relationship Id="rId34" Type="http://schemas.openxmlformats.org/officeDocument/2006/relationships/hyperlink" Target="https://doi.org/10.14806/ej.17.1.200" TargetMode="External"/><Relationship Id="rId35" Type="http://schemas.openxmlformats.org/officeDocument/2006/relationships/hyperlink" Target="https://doi.org/10.1890/0012-9658(2001)082%5B0290:FMMTCD%5D2.0.CO;2" TargetMode="External"/><Relationship Id="rId36" Type="http://schemas.openxmlformats.org/officeDocument/2006/relationships/hyperlink" Target="https://doi.org/10.1371/journal.pone.0061217" TargetMode="External"/><Relationship Id="rId37" Type="http://schemas.openxmlformats.org/officeDocument/2006/relationships/hyperlink" Target="https://doi.org/10.1016/S0723-2020(99)80032-0" TargetMode="External"/><Relationship Id="rId38" Type="http://schemas.openxmlformats.org/officeDocument/2006/relationships/hyperlink" Target="https://doi.org/10.1016/j.funbio.2020.02.015" TargetMode="External"/><Relationship Id="rId39" Type="http://schemas.openxmlformats.org/officeDocument/2006/relationships/hyperlink" Target="https://doi.org/10.1038/s42003-021-01826-7" TargetMode="External"/><Relationship Id="rId40" Type="http://schemas.openxmlformats.org/officeDocument/2006/relationships/hyperlink" Target="https://github.com/vegandevs/vegan" TargetMode="External"/><Relationship Id="rId41" Type="http://schemas.openxmlformats.org/officeDocument/2006/relationships/hyperlink" Target="https://www.R-project.org/" TargetMode="External"/><Relationship Id="rId42" Type="http://schemas.openxmlformats.org/officeDocument/2006/relationships/hyperlink" Target="https://doi.org/10.1101/gr.128124.111" TargetMode="External"/><Relationship Id="rId43" Type="http://schemas.openxmlformats.org/officeDocument/2006/relationships/hyperlink" Target="https://doi.org/10.1186/1471-2105-13-283" TargetMode="External"/><Relationship Id="rId44" Type="http://schemas.openxmlformats.org/officeDocument/2006/relationships/hyperlink" Target="https://doi.org/10.3389/fcimb.2023.1067475" TargetMode="External"/><Relationship Id="rId45" Type="http://schemas.openxmlformats.org/officeDocument/2006/relationships/hyperlink" Target="https://doi.org/10.3389/fpls.2022.883897" TargetMode="External"/><Relationship Id="rId46" Type="http://schemas.openxmlformats.org/officeDocument/2006/relationships/hyperlink" Target="https://doi.org/10.1111/ecog.02809" TargetMode="External"/><Relationship Id="rId47" Type="http://schemas.openxmlformats.org/officeDocument/2006/relationships/hyperlink" Target="https://doi.org/10.1073/pnas.1706324114" TargetMode="External"/><Relationship Id="rId48" Type="http://schemas.openxmlformats.org/officeDocument/2006/relationships/hyperlink" Target="https://doi.org/10.1128/msphere.00354-23" TargetMode="External"/><Relationship Id="rId49" Type="http://schemas.openxmlformats.org/officeDocument/2006/relationships/hyperlink" Target="https://doi.org/10.1038/nmeth.2089" TargetMode="External"/><Relationship Id="rId50" Type="http://schemas.openxmlformats.org/officeDocument/2006/relationships/hyperlink" Target="https://doi.org/10.3114/sim.2007.58.05" TargetMode="External"/><Relationship Id="rId51" Type="http://schemas.openxmlformats.org/officeDocument/2006/relationships/hyperlink" Target="https://calscape.org/Mimulus-guttatus-(Seep-Monkey-Flower)" TargetMode="External"/><Relationship Id="rId52" Type="http://schemas.openxmlformats.org/officeDocument/2006/relationships/hyperlink" Target="https://doi.org/10.3389/fmicb.2016.01399" TargetMode="External"/><Relationship Id="rId53" Type="http://schemas.openxmlformats.org/officeDocument/2006/relationships/hyperlink" Target="https://doi.org/lutzoni" TargetMode="External"/><Relationship Id="rId54" Type="http://schemas.openxmlformats.org/officeDocument/2006/relationships/hyperlink" Target="https://doi.org/dx.doi.org/10.17504/protocols.io.fscbnaw" TargetMode="External"/><Relationship Id="rId55" Type="http://schemas.openxmlformats.org/officeDocument/2006/relationships/hyperlink" Target="https://doi.org/10.1080/23766808.2019.1659022" TargetMode="External"/><Relationship Id="rId56" Type="http://schemas.openxmlformats.org/officeDocument/2006/relationships/hyperlink" Target="https://doi.org/10.3390/plants10050905" TargetMode="External"/><Relationship Id="rId57" Type="http://schemas.openxmlformats.org/officeDocument/2006/relationships/hyperlink" Target="https://doi.org/10.1038/sj.hdy.6801018" TargetMode="External"/><Relationship Id="rId58" Type="http://schemas.openxmlformats.org/officeDocument/2006/relationships/hyperlink" Target="https://doi.org/10.1111/nph.15560" TargetMode="External"/><Relationship Id="rId59" Type="http://schemas.openxmlformats.org/officeDocument/2006/relationships/hyperlink" Target="" TargetMode="External"/><Relationship Id="rId60" Type="http://schemas.openxmlformats.org/officeDocument/2006/relationships/image" Target="media/image1.png"/><Relationship Id="rId61" Type="http://schemas.openxmlformats.org/officeDocument/2006/relationships/image" Target="media/image2.png"/><Relationship Id="rId62" Type="http://schemas.openxmlformats.org/officeDocument/2006/relationships/image" Target="media/image3.png"/><Relationship Id="rId63" Type="http://schemas.openxmlformats.org/officeDocument/2006/relationships/image" Target="media/image4.png"/><Relationship Id="rId64" Type="http://schemas.openxmlformats.org/officeDocument/2006/relationships/image" Target="media/image5.png"/><Relationship Id="rId65" Type="http://schemas.openxmlformats.org/officeDocument/2006/relationships/image" Target="media/image6.png"/><Relationship Id="rId66" Type="http://schemas.openxmlformats.org/officeDocument/2006/relationships/image" Target="media/image7.png"/><Relationship Id="rId67" Type="http://schemas.openxmlformats.org/officeDocument/2006/relationships/image" Target="media/image8.png"/><Relationship Id="rId68" Type="http://schemas.openxmlformats.org/officeDocument/2006/relationships/image" Target="media/image9.png"/><Relationship Id="rId69" Type="http://schemas.openxmlformats.org/officeDocument/2006/relationships/image" Target="media/image10.png"/><Relationship Id="rId70" Type="http://schemas.openxmlformats.org/officeDocument/2006/relationships/image" Target="media/image11.png"/><Relationship Id="rId71" Type="http://schemas.openxmlformats.org/officeDocument/2006/relationships/image" Target="media/image12.png"/><Relationship Id="rId72" Type="http://schemas.openxmlformats.org/officeDocument/2006/relationships/image" Target="media/image13.png"/><Relationship Id="rId73" Type="http://schemas.openxmlformats.org/officeDocument/2006/relationships/fontTable" Target="fontTable.xml"/><Relationship Id="rId74" Type="http://schemas.openxmlformats.org/officeDocument/2006/relationships/settings" Target="settings.xml"/><Relationship Id="rId75" Type="http://schemas.openxmlformats.org/officeDocument/2006/relationships/theme" Target="theme/theme1.xml"/>
</Relationships>
</file>

<file path=word/theme/theme1.xml><?xml version="1.0" encoding="utf-8"?>
<a:theme xmlns:a="http://schemas.openxmlformats.org/drawingml/2006/main" xmlns:r="http://schemas.openxmlformats.org/officeDocument/2006/relationships" name="Office Theme">
  <a:themeElements>
    <a:clrScheme name="Office">
      <a:dk1>
        <a:srgbClr val="000000"/>
      </a:dk1>
      <a:lt1>
        <a:srgbClr val="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pitchFamily="0" charset="1"/>
        <a:ea typeface=""/>
        <a:cs typeface=""/>
      </a:majorFont>
      <a:minorFont>
        <a:latin typeface="Cambria" pitchFamily="0" charset="1"/>
        <a:ea typeface=""/>
        <a:cs typeface=""/>
      </a:minorFont>
    </a:fontScheme>
    <a:fmtScheme>
      <a:fillStyleLst>
        <a:solidFill>
          <a:schemeClr val="phClr"/>
        </a:solidFill>
        <a:gradFill>
          <a:gsLst>
            <a:gs pos="0">
              <a:schemeClr val="phClr">
                <a:tint val="50000"/>
              </a:schemeClr>
            </a:gs>
            <a:gs pos="35000">
              <a:schemeClr val="phClr">
                <a:tint val="37000"/>
              </a:schemeClr>
            </a:gs>
            <a:gs pos="100000">
              <a:schemeClr val="phClr">
                <a:tint val="15000"/>
              </a:schemeClr>
            </a:gs>
          </a:gsLst>
          <a:lin ang="16200000" scaled="1"/>
          <a:tileRect l="0" t="0" r="0" b="0"/>
        </a:gradFill>
        <a:gradFill>
          <a:gsLst>
            <a:gs pos="0">
              <a:schemeClr val="phClr">
                <a:tint val="100000"/>
                <a:shade val="100000"/>
              </a:schemeClr>
            </a:gs>
            <a:gs pos="100000">
              <a:schemeClr val="phClr">
                <a:tint val="50000"/>
                <a:shade val="100000"/>
              </a:schemeClr>
            </a:gs>
          </a:gsLst>
          <a:lin ang="16200000" scaled="0"/>
          <a:tileRect l="0" t="0" r="0" b="0"/>
        </a:gradFill>
      </a:fillStyleLst>
      <a:lnStyleLst>
        <a:ln w="9525" cap="flat" cmpd="sng" algn="ctr">
          <a:prstDash val="solid"/>
        </a:ln>
        <a:ln w="25400" cap="flat" cmpd="sng" algn="ctr">
          <a:prstDash val="solid"/>
        </a:ln>
        <a:ln w="38100" cap="flat" cmpd="sng" algn="ctr">
          <a:prstDash val="solid"/>
        </a:ln>
      </a:lnStyleLst>
      <a:effectStyleLst>
        <a:effectStyle>
          <a:effectLst/>
        </a:effectStyle>
        <a:effectStyle>
          <a:effectLst/>
        </a:effectStyle>
        <a:effectStyle>
          <a:effectLst/>
        </a:effectStyle>
      </a:effectStyleLst>
      <a:bgFillStyleLst>
        <a:solidFill>
          <a:schemeClr val="phClr"/>
        </a:solidFill>
        <a:gradFill>
          <a:gsLst>
            <a:gs pos="0">
              <a:schemeClr val="phClr">
                <a:tint val="40000"/>
              </a:schemeClr>
            </a:gs>
            <a:gs pos="40000">
              <a:schemeClr val="phClr">
                <a:tint val="45000"/>
                <a:shade val="99000"/>
              </a:schemeClr>
            </a:gs>
            <a:gs pos="100000">
              <a:schemeClr val="phClr">
                <a:shade val="20000"/>
              </a:schemeClr>
            </a:gs>
          </a:gsLst>
          <a:path path="circle">
            <a:fillToRect l="50000" t="-80000" r="50000" b="180000"/>
          </a:path>
          <a:tileRect l="0" t="0" r="0" b="0"/>
        </a:gradFill>
        <a:gradFill>
          <a:gsLst>
            <a:gs pos="0">
              <a:schemeClr val="phClr">
                <a:tint val="80000"/>
              </a:schemeClr>
            </a:gs>
            <a:gs pos="100000">
              <a:schemeClr val="phClr">
                <a:shade val="30000"/>
              </a:schemeClr>
            </a:gs>
          </a:gsLst>
          <a:path path="circle">
            <a:fillToRect l="50000" t="50000" r="50000" b="50000"/>
          </a:path>
          <a:tileRect l="0" t="0" r="0" b="0"/>
        </a:gradFill>
      </a:bgFillStyleLst>
    </a:fmtScheme>
  </a:themeElements>
</a:theme>
</file>

<file path=docProps/app.xml><?xml version="1.0" encoding="utf-8"?>
<Properties xmlns="http://schemas.openxmlformats.org/officeDocument/2006/extended-properties" xmlns:vt="http://schemas.openxmlformats.org/officeDocument/2006/docPropsVTypes">
  <Template>Normal.dotm</Template>
  <TotalTime>114</TotalTime>
  <Application>LibreOffice/24.2.0.3$Linux_X86_64 LibreOffice_project/420$Build-3</Application>
  <AppVersion>15.0000</AppVersion>
  <Pages>49</Pages>
  <Words>9971</Words>
  <Characters>56878</Characters>
  <CharactersWithSpaces>66466</CharactersWithSpaces>
  <Paragraphs>362</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2024-03-22T01:30:43Z</dcterms:created>
  <dc:creator>Bolívar Aponte Rolón1,✉, Kathleen G. Ferris2, and Sunshine A. Van Bael2</dc:creator>
  <dc:description/>
  <dc:language>en-US</dc:language>
  <cp:lastModifiedBy>Bolívar Aponte Rolón</cp:lastModifiedBy>
  <dcterms:modified xsi:type="dcterms:W3CDTF">2024-03-21T20:54:22Z</dcterms:modified>
  <cp:revision>2</cp:revision>
  <dc:subject/>
  <dc:title>[Working title]: Foliar fungal symbionts in sympatric yellow monkeyflowers along elevation gradients in the Sierra Nevada</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references.bib</vt:lpwstr>
  </property>
  <property fmtid="{D5CDD505-2E9C-101B-9397-08002B2CF9AE}" pid="5" name="by-affiliation">
    <vt:lpwstr/>
  </property>
  <property fmtid="{D5CDD505-2E9C-101B-9397-08002B2CF9AE}" pid="6" name="by-author">
    <vt:lpwstr/>
  </property>
  <property fmtid="{D5CDD505-2E9C-101B-9397-08002B2CF9AE}" pid="7" name="citation-package">
    <vt:lpwstr>biblatex</vt:lpwstr>
  </property>
  <property fmtid="{D5CDD505-2E9C-101B-9397-08002B2CF9AE}" pid="8" name="crossref">
    <vt:lpwstr/>
  </property>
  <property fmtid="{D5CDD505-2E9C-101B-9397-08002B2CF9AE}" pid="9" name="csl">
    <vt:lpwstr>apa.csl</vt:lpwstr>
  </property>
  <property fmtid="{D5CDD505-2E9C-101B-9397-08002B2CF9AE}" pid="10" name="date">
    <vt:lpwstr>March 21, 2024</vt:lpwstr>
  </property>
  <property fmtid="{D5CDD505-2E9C-101B-9397-08002B2CF9AE}" pid="11" name="date-format">
    <vt:lpwstr>MMMM D, YYYY</vt:lpwstr>
  </property>
  <property fmtid="{D5CDD505-2E9C-101B-9397-08002B2CF9AE}" pid="12" name="editor">
    <vt:lpwstr>source</vt:lpwstr>
  </property>
  <property fmtid="{D5CDD505-2E9C-101B-9397-08002B2CF9AE}" pid="13" name="execute">
    <vt:lpwstr/>
  </property>
  <property fmtid="{D5CDD505-2E9C-101B-9397-08002B2CF9AE}" pid="14" name="header-includes">
    <vt:lpwstr/>
  </property>
  <property fmtid="{D5CDD505-2E9C-101B-9397-08002B2CF9AE}" pid="15" name="include-after">
    <vt:lpwstr/>
  </property>
  <property fmtid="{D5CDD505-2E9C-101B-9397-08002B2CF9AE}" pid="16" name="include-before">
    <vt:lpwstr/>
  </property>
  <property fmtid="{D5CDD505-2E9C-101B-9397-08002B2CF9AE}" pid="17" name="labels">
    <vt:lpwstr/>
  </property>
  <property fmtid="{D5CDD505-2E9C-101B-9397-08002B2CF9AE}" pid="18" name="toc-title">
    <vt:lpwstr>Table of contents</vt:lpwstr>
  </property>
</Properties>
</file>